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center"/>
        <w:rPr>
          <w:rFonts w:ascii="新宋体" w:hAnsi="新宋体" w:eastAsia="新宋体" w:cs="新宋体"/>
          <w:b/>
          <w:bCs/>
          <w:color w:val="auto"/>
          <w:kern w:val="0"/>
          <w:sz w:val="44"/>
          <w:szCs w:val="44"/>
          <w:highlight w:val="none"/>
          <w:lang w:bidi="ar"/>
        </w:rPr>
      </w:pPr>
    </w:p>
    <w:p>
      <w:pPr>
        <w:pStyle w:val="11"/>
        <w:rPr>
          <w:color w:val="auto"/>
          <w:highlight w:val="none"/>
        </w:rPr>
      </w:pPr>
    </w:p>
    <w:p>
      <w:pPr>
        <w:widowControl/>
        <w:spacing w:line="360" w:lineRule="auto"/>
        <w:jc w:val="center"/>
        <w:rPr>
          <w:rFonts w:hint="eastAsia" w:ascii="新宋体" w:hAnsi="新宋体" w:eastAsia="新宋体" w:cs="新宋体"/>
          <w:b/>
          <w:bCs/>
          <w:color w:val="auto"/>
          <w:kern w:val="0"/>
          <w:sz w:val="44"/>
          <w:szCs w:val="44"/>
          <w:highlight w:val="none"/>
          <w:lang w:eastAsia="zh-CN" w:bidi="ar"/>
        </w:rPr>
      </w:pPr>
      <w:r>
        <w:rPr>
          <w:rFonts w:hint="eastAsia" w:ascii="新宋体" w:hAnsi="新宋体" w:eastAsia="新宋体" w:cs="新宋体"/>
          <w:b/>
          <w:bCs/>
          <w:color w:val="auto"/>
          <w:kern w:val="0"/>
          <w:sz w:val="44"/>
          <w:szCs w:val="44"/>
          <w:highlight w:val="none"/>
          <w:lang w:bidi="ar"/>
        </w:rPr>
        <w:t>广州市自来水工程有限公司</w:t>
      </w:r>
      <w:r>
        <w:rPr>
          <w:rFonts w:hint="eastAsia" w:ascii="新宋体" w:hAnsi="新宋体" w:eastAsia="新宋体" w:cs="新宋体"/>
          <w:b/>
          <w:bCs/>
          <w:color w:val="auto"/>
          <w:kern w:val="0"/>
          <w:sz w:val="44"/>
          <w:szCs w:val="44"/>
          <w:highlight w:val="none"/>
          <w:lang w:eastAsia="zh-CN" w:bidi="ar"/>
        </w:rPr>
        <w:t>2023～2025</w:t>
      </w:r>
    </w:p>
    <w:p>
      <w:pPr>
        <w:widowControl/>
        <w:spacing w:line="360" w:lineRule="auto"/>
        <w:jc w:val="center"/>
        <w:rPr>
          <w:rFonts w:ascii="新宋体" w:hAnsi="新宋体" w:eastAsia="新宋体" w:cs="新宋体"/>
          <w:b/>
          <w:bCs/>
          <w:color w:val="auto"/>
          <w:kern w:val="0"/>
          <w:sz w:val="44"/>
          <w:szCs w:val="44"/>
          <w:highlight w:val="none"/>
          <w:lang w:bidi="ar"/>
        </w:rPr>
      </w:pPr>
      <w:r>
        <w:rPr>
          <w:rFonts w:hint="eastAsia" w:ascii="新宋体" w:hAnsi="新宋体" w:eastAsia="新宋体" w:cs="新宋体"/>
          <w:b/>
          <w:bCs/>
          <w:color w:val="auto"/>
          <w:kern w:val="0"/>
          <w:sz w:val="44"/>
          <w:szCs w:val="44"/>
          <w:highlight w:val="none"/>
          <w:lang w:bidi="ar"/>
        </w:rPr>
        <w:t>年度车辆维修保养服务采购项目</w:t>
      </w:r>
    </w:p>
    <w:p>
      <w:pPr>
        <w:widowControl/>
        <w:spacing w:line="360" w:lineRule="auto"/>
        <w:rPr>
          <w:rFonts w:ascii="新宋体" w:hAnsi="新宋体" w:eastAsia="新宋体" w:cs="新宋体"/>
          <w:b/>
          <w:bCs/>
          <w:color w:val="auto"/>
          <w:kern w:val="0"/>
          <w:sz w:val="44"/>
          <w:szCs w:val="44"/>
          <w:highlight w:val="none"/>
          <w:lang w:bidi="ar"/>
        </w:rPr>
      </w:pPr>
    </w:p>
    <w:p>
      <w:pPr>
        <w:pStyle w:val="5"/>
        <w:rPr>
          <w:color w:val="auto"/>
          <w:highlight w:val="none"/>
        </w:rPr>
      </w:pPr>
    </w:p>
    <w:p>
      <w:pPr>
        <w:widowControl/>
        <w:spacing w:line="360" w:lineRule="auto"/>
        <w:jc w:val="center"/>
        <w:rPr>
          <w:rFonts w:ascii="新宋体" w:hAnsi="新宋体" w:eastAsia="新宋体" w:cs="新宋体"/>
          <w:b/>
          <w:bCs/>
          <w:color w:val="auto"/>
          <w:kern w:val="0"/>
          <w:sz w:val="84"/>
          <w:szCs w:val="84"/>
          <w:highlight w:val="none"/>
          <w:lang w:bidi="ar"/>
        </w:rPr>
      </w:pPr>
      <w:r>
        <w:rPr>
          <w:rFonts w:hint="eastAsia" w:ascii="新宋体" w:hAnsi="新宋体" w:eastAsia="新宋体" w:cs="新宋体"/>
          <w:b/>
          <w:bCs/>
          <w:color w:val="auto"/>
          <w:kern w:val="0"/>
          <w:sz w:val="84"/>
          <w:szCs w:val="84"/>
          <w:highlight w:val="none"/>
          <w:lang w:bidi="ar"/>
        </w:rPr>
        <w:t>采购文件</w:t>
      </w:r>
    </w:p>
    <w:p>
      <w:pPr>
        <w:widowControl/>
        <w:spacing w:line="360" w:lineRule="auto"/>
        <w:jc w:val="center"/>
        <w:rPr>
          <w:rFonts w:ascii="新宋体" w:hAnsi="新宋体" w:eastAsia="新宋体" w:cs="新宋体"/>
          <w:b/>
          <w:bCs/>
          <w:color w:val="auto"/>
          <w:kern w:val="0"/>
          <w:sz w:val="84"/>
          <w:szCs w:val="84"/>
          <w:highlight w:val="none"/>
          <w:lang w:bidi="ar"/>
        </w:rPr>
      </w:pPr>
    </w:p>
    <w:p>
      <w:pPr>
        <w:pStyle w:val="5"/>
        <w:rPr>
          <w:color w:val="auto"/>
          <w:highlight w:val="none"/>
        </w:rPr>
      </w:pPr>
    </w:p>
    <w:p>
      <w:pPr>
        <w:pStyle w:val="5"/>
        <w:rPr>
          <w:color w:val="auto"/>
          <w:highlight w:val="none"/>
        </w:rPr>
      </w:pPr>
    </w:p>
    <w:p>
      <w:pPr>
        <w:widowControl/>
        <w:spacing w:line="360" w:lineRule="auto"/>
        <w:jc w:val="center"/>
        <w:rPr>
          <w:rFonts w:ascii="新宋体" w:hAnsi="新宋体" w:eastAsia="新宋体" w:cs="新宋体"/>
          <w:b/>
          <w:bCs/>
          <w:color w:val="auto"/>
          <w:kern w:val="0"/>
          <w:sz w:val="84"/>
          <w:szCs w:val="84"/>
          <w:highlight w:val="none"/>
          <w:lang w:bidi="ar"/>
        </w:rPr>
      </w:pPr>
    </w:p>
    <w:p>
      <w:pPr>
        <w:widowControl/>
        <w:spacing w:line="360" w:lineRule="auto"/>
        <w:ind w:left="1680" w:leftChars="800"/>
        <w:jc w:val="left"/>
        <w:rPr>
          <w:rFonts w:ascii="新宋体" w:hAnsi="新宋体" w:eastAsia="新宋体" w:cs="新宋体"/>
          <w:color w:val="auto"/>
          <w:highlight w:val="none"/>
        </w:rPr>
      </w:pPr>
      <w:r>
        <w:rPr>
          <w:rFonts w:hint="eastAsia" w:ascii="新宋体" w:hAnsi="新宋体" w:eastAsia="新宋体" w:cs="新宋体"/>
          <w:color w:val="auto"/>
          <w:kern w:val="0"/>
          <w:sz w:val="32"/>
          <w:szCs w:val="32"/>
          <w:highlight w:val="none"/>
          <w:lang w:bidi="ar"/>
        </w:rPr>
        <w:t>采购单位：广州市自来水工程有限公司</w:t>
      </w:r>
    </w:p>
    <w:p>
      <w:pPr>
        <w:widowControl/>
        <w:spacing w:line="360" w:lineRule="auto"/>
        <w:ind w:left="1680" w:leftChars="800"/>
        <w:jc w:val="left"/>
        <w:rPr>
          <w:rFonts w:ascii="新宋体" w:hAnsi="新宋体" w:eastAsia="新宋体" w:cs="新宋体"/>
          <w:color w:val="auto"/>
          <w:highlight w:val="none"/>
        </w:rPr>
      </w:pPr>
      <w:r>
        <w:rPr>
          <w:rFonts w:hint="eastAsia" w:ascii="新宋体" w:hAnsi="新宋体" w:eastAsia="新宋体" w:cs="新宋体"/>
          <w:color w:val="auto"/>
          <w:kern w:val="0"/>
          <w:sz w:val="32"/>
          <w:szCs w:val="32"/>
          <w:highlight w:val="none"/>
          <w:lang w:bidi="ar"/>
        </w:rPr>
        <w:t>项目类型：服务</w:t>
      </w:r>
    </w:p>
    <w:p>
      <w:pPr>
        <w:widowControl/>
        <w:spacing w:line="360" w:lineRule="auto"/>
        <w:ind w:left="1680" w:leftChars="800"/>
        <w:jc w:val="left"/>
        <w:rPr>
          <w:rFonts w:ascii="新宋体" w:hAnsi="新宋体" w:eastAsia="新宋体" w:cs="新宋体"/>
          <w:color w:val="auto"/>
          <w:highlight w:val="none"/>
        </w:rPr>
      </w:pPr>
      <w:r>
        <w:rPr>
          <w:rFonts w:hint="eastAsia" w:ascii="新宋体" w:hAnsi="新宋体" w:eastAsia="新宋体" w:cs="新宋体"/>
          <w:color w:val="auto"/>
          <w:kern w:val="0"/>
          <w:sz w:val="32"/>
          <w:szCs w:val="32"/>
          <w:highlight w:val="none"/>
          <w:lang w:bidi="ar"/>
        </w:rPr>
        <w:t>采购方式：</w:t>
      </w:r>
      <w:r>
        <w:rPr>
          <w:rFonts w:hint="eastAsia" w:ascii="新宋体" w:hAnsi="新宋体" w:eastAsia="新宋体" w:cs="新宋体"/>
          <w:color w:val="auto"/>
          <w:kern w:val="0"/>
          <w:sz w:val="32"/>
          <w:szCs w:val="32"/>
          <w:highlight w:val="none"/>
          <w:lang w:eastAsia="zh-CN" w:bidi="ar"/>
        </w:rPr>
        <w:t>公开</w:t>
      </w:r>
      <w:r>
        <w:rPr>
          <w:rFonts w:hint="eastAsia" w:ascii="新宋体" w:hAnsi="新宋体" w:eastAsia="新宋体" w:cs="新宋体"/>
          <w:color w:val="auto"/>
          <w:kern w:val="0"/>
          <w:sz w:val="32"/>
          <w:szCs w:val="32"/>
          <w:highlight w:val="none"/>
          <w:lang w:bidi="ar"/>
        </w:rPr>
        <w:t>询比</w:t>
      </w:r>
    </w:p>
    <w:p>
      <w:pPr>
        <w:widowControl/>
        <w:spacing w:line="360" w:lineRule="auto"/>
        <w:jc w:val="center"/>
        <w:rPr>
          <w:rFonts w:ascii="新宋体" w:hAnsi="新宋体" w:eastAsia="新宋体" w:cs="新宋体"/>
          <w:b/>
          <w:bCs/>
          <w:color w:val="auto"/>
          <w:kern w:val="0"/>
          <w:sz w:val="32"/>
          <w:szCs w:val="32"/>
          <w:highlight w:val="none"/>
          <w:lang w:bidi="ar"/>
        </w:rPr>
      </w:pPr>
    </w:p>
    <w:p>
      <w:pPr>
        <w:widowControl/>
        <w:spacing w:line="360" w:lineRule="auto"/>
        <w:jc w:val="center"/>
        <w:rPr>
          <w:rFonts w:ascii="新宋体" w:hAnsi="新宋体" w:eastAsia="新宋体" w:cs="新宋体"/>
          <w:b/>
          <w:bCs/>
          <w:color w:val="auto"/>
          <w:kern w:val="0"/>
          <w:sz w:val="32"/>
          <w:szCs w:val="32"/>
          <w:highlight w:val="none"/>
          <w:lang w:bidi="ar"/>
        </w:rPr>
      </w:pPr>
    </w:p>
    <w:p>
      <w:pPr>
        <w:widowControl/>
        <w:spacing w:line="360" w:lineRule="auto"/>
        <w:jc w:val="center"/>
        <w:rPr>
          <w:rFonts w:ascii="新宋体" w:hAnsi="新宋体" w:eastAsia="新宋体" w:cs="新宋体"/>
          <w:b/>
          <w:bCs/>
          <w:color w:val="auto"/>
          <w:kern w:val="0"/>
          <w:sz w:val="32"/>
          <w:szCs w:val="32"/>
          <w:highlight w:val="none"/>
          <w:lang w:bidi="ar"/>
        </w:rPr>
      </w:pPr>
    </w:p>
    <w:p>
      <w:pPr>
        <w:widowControl/>
        <w:spacing w:line="360" w:lineRule="auto"/>
        <w:jc w:val="center"/>
        <w:rPr>
          <w:rFonts w:ascii="新宋体" w:hAnsi="新宋体" w:eastAsia="新宋体" w:cs="新宋体"/>
          <w:b/>
          <w:bCs/>
          <w:color w:val="auto"/>
          <w:kern w:val="0"/>
          <w:sz w:val="32"/>
          <w:szCs w:val="32"/>
          <w:highlight w:val="none"/>
          <w:lang w:bidi="ar"/>
        </w:rPr>
      </w:pPr>
    </w:p>
    <w:p>
      <w:pPr>
        <w:widowControl/>
        <w:spacing w:line="360" w:lineRule="auto"/>
        <w:jc w:val="center"/>
        <w:rPr>
          <w:rFonts w:ascii="新宋体" w:hAnsi="新宋体" w:eastAsia="新宋体" w:cs="新宋体"/>
          <w:color w:val="auto"/>
          <w:highlight w:val="none"/>
        </w:rPr>
      </w:pPr>
      <w:r>
        <w:rPr>
          <w:rFonts w:hint="eastAsia" w:ascii="新宋体" w:hAnsi="新宋体" w:eastAsia="新宋体" w:cs="新宋体"/>
          <w:b/>
          <w:bCs/>
          <w:color w:val="auto"/>
          <w:kern w:val="0"/>
          <w:sz w:val="32"/>
          <w:szCs w:val="32"/>
          <w:highlight w:val="none"/>
          <w:lang w:bidi="ar"/>
        </w:rPr>
        <w:t>2023年</w:t>
      </w:r>
      <w:r>
        <w:rPr>
          <w:rFonts w:hint="eastAsia" w:ascii="新宋体" w:hAnsi="新宋体" w:eastAsia="新宋体" w:cs="新宋体"/>
          <w:b/>
          <w:bCs/>
          <w:color w:val="auto"/>
          <w:kern w:val="0"/>
          <w:sz w:val="32"/>
          <w:szCs w:val="32"/>
          <w:highlight w:val="none"/>
          <w:lang w:val="en-US" w:eastAsia="zh-CN" w:bidi="ar"/>
        </w:rPr>
        <w:t>4</w:t>
      </w:r>
      <w:r>
        <w:rPr>
          <w:rFonts w:hint="eastAsia" w:ascii="新宋体" w:hAnsi="新宋体" w:eastAsia="新宋体" w:cs="新宋体"/>
          <w:b/>
          <w:bCs/>
          <w:color w:val="auto"/>
          <w:kern w:val="0"/>
          <w:sz w:val="32"/>
          <w:szCs w:val="32"/>
          <w:highlight w:val="none"/>
          <w:lang w:bidi="ar"/>
        </w:rPr>
        <w:t>月</w:t>
      </w:r>
    </w:p>
    <w:p>
      <w:pPr>
        <w:widowControl/>
        <w:spacing w:line="400" w:lineRule="exact"/>
        <w:jc w:val="left"/>
        <w:rPr>
          <w:rFonts w:ascii="新宋体" w:hAnsi="新宋体" w:eastAsia="新宋体" w:cs="新宋体"/>
          <w:b/>
          <w:bCs/>
          <w:color w:val="auto"/>
          <w:kern w:val="0"/>
          <w:sz w:val="24"/>
          <w:highlight w:val="none"/>
          <w:lang w:bidi="ar"/>
        </w:rPr>
      </w:pPr>
    </w:p>
    <w:p>
      <w:pPr>
        <w:spacing w:line="400" w:lineRule="exact"/>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color w:val="auto"/>
          <w:kern w:val="0"/>
          <w:sz w:val="32"/>
          <w:szCs w:val="32"/>
          <w:highlight w:val="none"/>
          <w:lang w:bidi="ar"/>
        </w:rPr>
      </w:pPr>
      <w:r>
        <w:rPr>
          <w:rFonts w:hint="eastAsia" w:ascii="新宋体" w:hAnsi="新宋体" w:eastAsia="新宋体" w:cs="新宋体"/>
          <w:color w:val="auto"/>
          <w:kern w:val="0"/>
          <w:sz w:val="32"/>
          <w:szCs w:val="32"/>
          <w:highlight w:val="none"/>
          <w:lang w:bidi="ar"/>
        </w:rPr>
        <w:t>目  录</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 xml:space="preserve">第一部分 采购公告 </w:t>
      </w:r>
      <w:r>
        <w:rPr>
          <w:rFonts w:ascii="微软雅黑" w:hAnsi="微软雅黑" w:eastAsia="微软雅黑" w:cs="微软雅黑"/>
          <w:color w:val="auto"/>
          <w:kern w:val="0"/>
          <w:sz w:val="24"/>
          <w:highlight w:val="none"/>
          <w:lang w:bidi="ar"/>
        </w:rPr>
        <w:t>.......................................................................................................4</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 xml:space="preserve">一、项目基本情况 </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..................................................4</w:t>
      </w:r>
      <w:r>
        <w:rPr>
          <w:rFonts w:hint="eastAsia" w:ascii="宋体" w:hAnsi="宋体" w:eastAsia="宋体" w:cs="宋体"/>
          <w:color w:val="auto"/>
          <w:kern w:val="0"/>
          <w:sz w:val="24"/>
          <w:highlight w:val="none"/>
          <w:lang w:bidi="ar"/>
        </w:rPr>
        <w:t>二、</w:t>
      </w:r>
      <w:r>
        <w:rPr>
          <w:rFonts w:hint="eastAsia" w:ascii="宋体" w:hAnsi="宋体" w:eastAsia="宋体" w:cs="宋体"/>
          <w:color w:val="auto"/>
          <w:kern w:val="0"/>
          <w:sz w:val="24"/>
          <w:highlight w:val="none"/>
          <w:lang w:eastAsia="zh-CN" w:bidi="ar"/>
        </w:rPr>
        <w:t>报价人</w:t>
      </w:r>
      <w:r>
        <w:rPr>
          <w:rFonts w:hint="eastAsia" w:ascii="宋体" w:hAnsi="宋体" w:eastAsia="宋体" w:cs="宋体"/>
          <w:color w:val="auto"/>
          <w:kern w:val="0"/>
          <w:sz w:val="24"/>
          <w:highlight w:val="none"/>
          <w:lang w:bidi="ar"/>
        </w:rPr>
        <w:t xml:space="preserve">条件 </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......................................................4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三、获取</w:t>
      </w:r>
      <w:r>
        <w:rPr>
          <w:rFonts w:hint="eastAsia" w:ascii="宋体" w:hAnsi="宋体" w:eastAsia="宋体" w:cs="宋体"/>
          <w:color w:val="auto"/>
          <w:kern w:val="0"/>
          <w:sz w:val="24"/>
          <w:highlight w:val="none"/>
          <w:lang w:eastAsia="zh-CN" w:bidi="ar"/>
        </w:rPr>
        <w:t>采购文件</w:t>
      </w:r>
      <w:r>
        <w:rPr>
          <w:rFonts w:hint="eastAsia" w:ascii="宋体" w:hAnsi="宋体" w:eastAsia="宋体" w:cs="宋体"/>
          <w:color w:val="auto"/>
          <w:kern w:val="0"/>
          <w:sz w:val="24"/>
          <w:highlight w:val="none"/>
          <w:lang w:bidi="ar"/>
        </w:rPr>
        <w:t>方式</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.........................................................5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四、响应文件报送方式</w:t>
      </w:r>
      <w:r>
        <w:rPr>
          <w:rFonts w:hint="eastAsia" w:ascii="微软雅黑" w:hAnsi="微软雅黑" w:eastAsia="微软雅黑" w:cs="微软雅黑"/>
          <w:color w:val="auto"/>
          <w:kern w:val="0"/>
          <w:sz w:val="24"/>
          <w:highlight w:val="none"/>
          <w:lang w:bidi="ar"/>
        </w:rPr>
        <w:t xml:space="preserve">................................................................................................5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 xml:space="preserve">五、询比评审原则 </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..........................6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六、询比响应文件递交截止时间</w:t>
      </w:r>
      <w:r>
        <w:rPr>
          <w:rFonts w:hint="eastAsia" w:ascii="微软雅黑" w:hAnsi="微软雅黑" w:eastAsia="微软雅黑" w:cs="微软雅黑"/>
          <w:color w:val="auto"/>
          <w:kern w:val="0"/>
          <w:sz w:val="24"/>
          <w:highlight w:val="none"/>
          <w:lang w:bidi="ar"/>
        </w:rPr>
        <w:t xml:space="preserve">................................................................................6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七、评审地点</w:t>
      </w:r>
      <w:r>
        <w:rPr>
          <w:rFonts w:hint="eastAsia" w:ascii="微软雅黑" w:hAnsi="微软雅黑" w:eastAsia="微软雅黑" w:cs="微软雅黑"/>
          <w:color w:val="auto"/>
          <w:kern w:val="0"/>
          <w:sz w:val="24"/>
          <w:highlight w:val="none"/>
          <w:lang w:bidi="ar"/>
        </w:rPr>
        <w:t xml:space="preserve">..................................................................................................................6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八、</w:t>
      </w:r>
      <w:r>
        <w:rPr>
          <w:rFonts w:hint="eastAsia" w:ascii="宋体" w:hAnsi="宋体" w:eastAsia="宋体" w:cs="宋体"/>
          <w:color w:val="auto"/>
          <w:kern w:val="0"/>
          <w:sz w:val="24"/>
          <w:highlight w:val="none"/>
          <w:lang w:eastAsia="zh-CN" w:bidi="ar"/>
        </w:rPr>
        <w:t>采购人</w:t>
      </w:r>
      <w:r>
        <w:rPr>
          <w:rFonts w:hint="eastAsia" w:ascii="宋体" w:hAnsi="宋体" w:eastAsia="宋体" w:cs="宋体"/>
          <w:color w:val="auto"/>
          <w:kern w:val="0"/>
          <w:sz w:val="24"/>
          <w:highlight w:val="none"/>
          <w:lang w:bidi="ar"/>
        </w:rPr>
        <w:t>的联系方式</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............................6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第二部分 项目内容</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..........................................7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一、</w:t>
      </w:r>
      <w:r>
        <w:rPr>
          <w:rFonts w:hint="eastAsia" w:ascii="宋体" w:hAnsi="宋体" w:eastAsia="宋体" w:cs="宋体"/>
          <w:color w:val="auto"/>
          <w:kern w:val="0"/>
          <w:sz w:val="24"/>
          <w:highlight w:val="none"/>
          <w:lang w:eastAsia="zh-CN" w:bidi="ar"/>
        </w:rPr>
        <w:t>采购项目</w:t>
      </w:r>
      <w:r>
        <w:rPr>
          <w:rFonts w:hint="eastAsia" w:ascii="宋体" w:hAnsi="宋体" w:eastAsia="宋体" w:cs="宋体"/>
          <w:color w:val="auto"/>
          <w:kern w:val="0"/>
          <w:sz w:val="24"/>
          <w:highlight w:val="none"/>
          <w:lang w:bidi="ar"/>
        </w:rPr>
        <w:t>名称</w:t>
      </w:r>
      <w:r>
        <w:rPr>
          <w:rFonts w:hint="eastAsia" w:ascii="微软雅黑" w:hAnsi="微软雅黑" w:eastAsia="微软雅黑" w:cs="微软雅黑"/>
          <w:color w:val="auto"/>
          <w:kern w:val="0"/>
          <w:sz w:val="24"/>
          <w:highlight w:val="none"/>
          <w:lang w:bidi="ar"/>
        </w:rPr>
        <w:t xml:space="preserve">.........................................................................................................7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二、项目概况及需求详见下表</w:t>
      </w:r>
      <w:r>
        <w:rPr>
          <w:rFonts w:hint="eastAsia" w:ascii="微软雅黑" w:hAnsi="微软雅黑" w:eastAsia="微软雅黑" w:cs="微软雅黑"/>
          <w:color w:val="auto"/>
          <w:kern w:val="0"/>
          <w:sz w:val="24"/>
          <w:highlight w:val="none"/>
          <w:lang w:bidi="ar"/>
        </w:rPr>
        <w:t xml:space="preserve">.....................................................................................7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第三部分 报价须知</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...................................9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 xml:space="preserve">一、概念释义 </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...........................................9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二、</w:t>
      </w:r>
      <w:r>
        <w:rPr>
          <w:rFonts w:hint="eastAsia" w:ascii="宋体" w:hAnsi="宋体" w:eastAsia="宋体" w:cs="宋体"/>
          <w:color w:val="auto"/>
          <w:kern w:val="0"/>
          <w:sz w:val="24"/>
          <w:highlight w:val="none"/>
          <w:lang w:eastAsia="zh-CN" w:bidi="ar"/>
        </w:rPr>
        <w:t>采购文件</w:t>
      </w:r>
      <w:r>
        <w:rPr>
          <w:rFonts w:hint="eastAsia" w:ascii="宋体" w:hAnsi="宋体" w:eastAsia="宋体" w:cs="宋体"/>
          <w:color w:val="auto"/>
          <w:kern w:val="0"/>
          <w:sz w:val="24"/>
          <w:highlight w:val="none"/>
          <w:lang w:bidi="ar"/>
        </w:rPr>
        <w:t>适用范围</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............................................9</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三、</w:t>
      </w:r>
      <w:r>
        <w:rPr>
          <w:rFonts w:hint="eastAsia" w:ascii="宋体" w:hAnsi="宋体" w:eastAsia="宋体" w:cs="宋体"/>
          <w:color w:val="auto"/>
          <w:kern w:val="0"/>
          <w:sz w:val="24"/>
          <w:highlight w:val="none"/>
          <w:lang w:eastAsia="zh-CN" w:bidi="ar"/>
        </w:rPr>
        <w:t>采购文件</w:t>
      </w:r>
      <w:r>
        <w:rPr>
          <w:rFonts w:hint="eastAsia" w:ascii="宋体" w:hAnsi="宋体" w:eastAsia="宋体" w:cs="宋体"/>
          <w:color w:val="auto"/>
          <w:kern w:val="0"/>
          <w:sz w:val="24"/>
          <w:highlight w:val="none"/>
          <w:lang w:bidi="ar"/>
        </w:rPr>
        <w:t>包括但不限于下列文件</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................................................9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四、</w:t>
      </w:r>
      <w:r>
        <w:rPr>
          <w:rFonts w:hint="eastAsia" w:ascii="宋体" w:hAnsi="宋体" w:eastAsia="宋体" w:cs="宋体"/>
          <w:color w:val="auto"/>
          <w:kern w:val="0"/>
          <w:sz w:val="24"/>
          <w:highlight w:val="none"/>
          <w:lang w:eastAsia="zh-CN" w:bidi="ar"/>
        </w:rPr>
        <w:t>报价人</w:t>
      </w:r>
      <w:r>
        <w:rPr>
          <w:rFonts w:hint="eastAsia" w:ascii="宋体" w:hAnsi="宋体" w:eastAsia="宋体" w:cs="宋体"/>
          <w:color w:val="auto"/>
          <w:kern w:val="0"/>
          <w:sz w:val="24"/>
          <w:highlight w:val="none"/>
          <w:lang w:bidi="ar"/>
        </w:rPr>
        <w:t>的要求</w:t>
      </w:r>
      <w:r>
        <w:rPr>
          <w:rFonts w:hint="eastAsia" w:ascii="微软雅黑" w:hAnsi="微软雅黑" w:eastAsia="微软雅黑" w:cs="微软雅黑"/>
          <w:color w:val="auto"/>
          <w:kern w:val="0"/>
          <w:sz w:val="24"/>
          <w:highlight w:val="none"/>
          <w:lang w:bidi="ar"/>
        </w:rPr>
        <w:t>................................................</w:t>
      </w:r>
      <w:r>
        <w:rPr>
          <w:rFonts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bidi="ar"/>
        </w:rPr>
        <w:t xml:space="preserve">......................................................9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五、</w:t>
      </w:r>
      <w:r>
        <w:rPr>
          <w:rFonts w:hint="eastAsia" w:ascii="宋体" w:hAnsi="宋体" w:eastAsia="宋体" w:cs="宋体"/>
          <w:color w:val="auto"/>
          <w:kern w:val="0"/>
          <w:sz w:val="24"/>
          <w:highlight w:val="none"/>
          <w:lang w:eastAsia="zh-CN" w:bidi="ar"/>
        </w:rPr>
        <w:t>采购文件</w:t>
      </w:r>
      <w:r>
        <w:rPr>
          <w:rFonts w:hint="eastAsia" w:ascii="宋体" w:hAnsi="宋体" w:eastAsia="宋体" w:cs="宋体"/>
          <w:color w:val="auto"/>
          <w:kern w:val="0"/>
          <w:sz w:val="24"/>
          <w:highlight w:val="none"/>
          <w:lang w:bidi="ar"/>
        </w:rPr>
        <w:t xml:space="preserve">的澄清或修改 </w:t>
      </w:r>
      <w:r>
        <w:rPr>
          <w:rFonts w:hint="eastAsia" w:ascii="微软雅黑" w:hAnsi="微软雅黑" w:eastAsia="微软雅黑" w:cs="微软雅黑"/>
          <w:color w:val="auto"/>
          <w:kern w:val="0"/>
          <w:sz w:val="24"/>
          <w:highlight w:val="none"/>
          <w:lang w:bidi="ar"/>
        </w:rPr>
        <w:t xml:space="preserve">...................................................................................10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六、询比响应费用</w:t>
      </w:r>
      <w:r>
        <w:rPr>
          <w:rFonts w:hint="eastAsia" w:ascii="微软雅黑" w:hAnsi="微软雅黑" w:eastAsia="微软雅黑" w:cs="微软雅黑"/>
          <w:color w:val="auto"/>
          <w:kern w:val="0"/>
          <w:sz w:val="24"/>
          <w:highlight w:val="none"/>
          <w:lang w:bidi="ar"/>
        </w:rPr>
        <w:t xml:space="preserve">.....................................................................................................10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七、报价的语言及计量</w:t>
      </w:r>
      <w:r>
        <w:rPr>
          <w:rFonts w:hint="eastAsia" w:ascii="微软雅黑" w:hAnsi="微软雅黑" w:eastAsia="微软雅黑" w:cs="微软雅黑"/>
          <w:color w:val="auto"/>
          <w:kern w:val="0"/>
          <w:sz w:val="24"/>
          <w:highlight w:val="none"/>
          <w:lang w:bidi="ar"/>
        </w:rPr>
        <w:t>.............................................................................................10</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八、询比响应文件的构成</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九、询比响应文件编制</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十、报价</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十一、联合体报价</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十二、报价有效期</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 xml:space="preserve">十三、询比响应文件的递交 </w:t>
      </w:r>
      <w:r>
        <w:rPr>
          <w:rFonts w:hint="eastAsia" w:ascii="微软雅黑" w:hAnsi="微软雅黑" w:eastAsia="微软雅黑" w:cs="微软雅黑"/>
          <w:color w:val="auto"/>
          <w:kern w:val="0"/>
          <w:sz w:val="24"/>
          <w:highlight w:val="none"/>
          <w:lang w:bidi="ar"/>
        </w:rPr>
        <w:t xml:space="preserve">...................................................................................11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十四、评审小组</w:t>
      </w:r>
      <w:r>
        <w:rPr>
          <w:rFonts w:hint="eastAsia" w:ascii="微软雅黑" w:hAnsi="微软雅黑" w:eastAsia="微软雅黑" w:cs="微软雅黑"/>
          <w:color w:val="auto"/>
          <w:kern w:val="0"/>
          <w:sz w:val="24"/>
          <w:highlight w:val="none"/>
          <w:lang w:bidi="ar"/>
        </w:rPr>
        <w:t xml:space="preserve">.........................................................................................................12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十五、评审步骤</w:t>
      </w:r>
      <w:r>
        <w:rPr>
          <w:rFonts w:hint="eastAsia" w:ascii="微软雅黑" w:hAnsi="微软雅黑" w:eastAsia="微软雅黑" w:cs="微软雅黑"/>
          <w:color w:val="auto"/>
          <w:kern w:val="0"/>
          <w:sz w:val="24"/>
          <w:highlight w:val="none"/>
          <w:lang w:bidi="ar"/>
        </w:rPr>
        <w:t xml:space="preserve">.........................................................................................................12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 xml:space="preserve">十六、资格性、符合性评审 </w:t>
      </w:r>
      <w:r>
        <w:rPr>
          <w:rFonts w:hint="eastAsia" w:ascii="微软雅黑" w:hAnsi="微软雅黑" w:eastAsia="微软雅黑" w:cs="微软雅黑"/>
          <w:color w:val="auto"/>
          <w:kern w:val="0"/>
          <w:sz w:val="24"/>
          <w:highlight w:val="none"/>
          <w:lang w:bidi="ar"/>
        </w:rPr>
        <w:t xml:space="preserve">..................................................................................12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十七、比较与评价</w:t>
      </w:r>
      <w:r>
        <w:rPr>
          <w:rFonts w:hint="eastAsia" w:ascii="微软雅黑" w:hAnsi="微软雅黑" w:eastAsia="微软雅黑" w:cs="微软雅黑"/>
          <w:color w:val="auto"/>
          <w:kern w:val="0"/>
          <w:sz w:val="24"/>
          <w:highlight w:val="none"/>
          <w:lang w:bidi="ar"/>
        </w:rPr>
        <w:t xml:space="preserve">.....................................................................................................12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十八、报价的评审</w:t>
      </w:r>
      <w:r>
        <w:rPr>
          <w:rFonts w:hint="eastAsia" w:ascii="微软雅黑" w:hAnsi="微软雅黑" w:eastAsia="微软雅黑" w:cs="微软雅黑"/>
          <w:color w:val="auto"/>
          <w:kern w:val="0"/>
          <w:sz w:val="24"/>
          <w:highlight w:val="none"/>
          <w:lang w:bidi="ar"/>
        </w:rPr>
        <w:t xml:space="preserve">.......................................................................................................13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十九、确定</w:t>
      </w:r>
      <w:r>
        <w:rPr>
          <w:rFonts w:hint="eastAsia" w:ascii="宋体" w:hAnsi="宋体" w:eastAsia="宋体" w:cs="宋体"/>
          <w:color w:val="auto"/>
          <w:kern w:val="0"/>
          <w:sz w:val="24"/>
          <w:highlight w:val="none"/>
          <w:lang w:eastAsia="zh-CN" w:bidi="ar"/>
        </w:rPr>
        <w:t>维保单位</w:t>
      </w:r>
      <w:r>
        <w:rPr>
          <w:rFonts w:hint="eastAsia" w:ascii="宋体" w:hAnsi="宋体" w:eastAsia="宋体" w:cs="宋体"/>
          <w:color w:val="auto"/>
          <w:kern w:val="0"/>
          <w:sz w:val="24"/>
          <w:highlight w:val="none"/>
          <w:lang w:bidi="ar"/>
        </w:rPr>
        <w:t>原则</w:t>
      </w:r>
      <w:r>
        <w:rPr>
          <w:rFonts w:hint="eastAsia" w:ascii="微软雅黑" w:hAnsi="微软雅黑" w:eastAsia="微软雅黑" w:cs="微软雅黑"/>
          <w:color w:val="auto"/>
          <w:kern w:val="0"/>
          <w:sz w:val="24"/>
          <w:highlight w:val="none"/>
          <w:lang w:bidi="ar"/>
        </w:rPr>
        <w:t xml:space="preserve">..........................................................................................13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二十、合同的订立</w:t>
      </w:r>
      <w:r>
        <w:rPr>
          <w:rFonts w:hint="eastAsia" w:ascii="微软雅黑" w:hAnsi="微软雅黑" w:eastAsia="微软雅黑" w:cs="微软雅黑"/>
          <w:color w:val="auto"/>
          <w:kern w:val="0"/>
          <w:sz w:val="24"/>
          <w:highlight w:val="none"/>
          <w:lang w:bidi="ar"/>
        </w:rPr>
        <w:t xml:space="preserve">....................................................................................................14 </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二十一、合同的履行</w:t>
      </w:r>
      <w:r>
        <w:rPr>
          <w:rFonts w:hint="eastAsia" w:ascii="微软雅黑" w:hAnsi="微软雅黑" w:eastAsia="微软雅黑" w:cs="微软雅黑"/>
          <w:color w:val="auto"/>
          <w:kern w:val="0"/>
          <w:sz w:val="24"/>
          <w:highlight w:val="none"/>
          <w:lang w:bidi="ar"/>
        </w:rPr>
        <w:t>................................................................................................14</w:t>
      </w:r>
    </w:p>
    <w:p>
      <w:pPr>
        <w:widowControl/>
        <w:adjustRightInd w:val="0"/>
        <w:snapToGrid w:val="0"/>
        <w:ind w:left="210" w:leftChars="100"/>
        <w:jc w:val="left"/>
        <w:rPr>
          <w:color w:val="auto"/>
          <w:sz w:val="24"/>
          <w:highlight w:val="none"/>
        </w:rPr>
      </w:pPr>
      <w:r>
        <w:rPr>
          <w:rFonts w:hint="eastAsia" w:ascii="宋体" w:hAnsi="宋体" w:eastAsia="宋体" w:cs="宋体"/>
          <w:color w:val="auto"/>
          <w:kern w:val="0"/>
          <w:sz w:val="24"/>
          <w:highlight w:val="none"/>
          <w:lang w:bidi="ar"/>
        </w:rPr>
        <w:t>二十二、质疑及答复</w:t>
      </w:r>
      <w:r>
        <w:rPr>
          <w:rFonts w:hint="eastAsia" w:ascii="微软雅黑" w:hAnsi="微软雅黑" w:eastAsia="微软雅黑" w:cs="微软雅黑"/>
          <w:color w:val="auto"/>
          <w:kern w:val="0"/>
          <w:sz w:val="24"/>
          <w:highlight w:val="none"/>
          <w:lang w:bidi="ar"/>
        </w:rPr>
        <w:t xml:space="preserve">................................................................................................14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第四部分 最高询比限价</w:t>
      </w:r>
      <w:r>
        <w:rPr>
          <w:rFonts w:hint="eastAsia" w:ascii="微软雅黑" w:hAnsi="微软雅黑" w:eastAsia="微软雅黑" w:cs="微软雅黑"/>
          <w:color w:val="auto"/>
          <w:kern w:val="0"/>
          <w:sz w:val="24"/>
          <w:highlight w:val="none"/>
          <w:lang w:bidi="ar"/>
        </w:rPr>
        <w:t>..............................................................................................2</w:t>
      </w:r>
      <w:r>
        <w:rPr>
          <w:rFonts w:hint="eastAsia" w:ascii="微软雅黑" w:hAnsi="微软雅黑" w:eastAsia="微软雅黑" w:cs="微软雅黑"/>
          <w:color w:val="auto"/>
          <w:kern w:val="0"/>
          <w:sz w:val="24"/>
          <w:highlight w:val="none"/>
          <w:lang w:val="en-US" w:eastAsia="zh-CN" w:bidi="ar"/>
        </w:rPr>
        <w:t>2</w:t>
      </w:r>
      <w:r>
        <w:rPr>
          <w:rFonts w:hint="eastAsia" w:ascii="微软雅黑" w:hAnsi="微软雅黑" w:eastAsia="微软雅黑" w:cs="微软雅黑"/>
          <w:color w:val="auto"/>
          <w:kern w:val="0"/>
          <w:sz w:val="24"/>
          <w:highlight w:val="none"/>
          <w:lang w:bidi="ar"/>
        </w:rPr>
        <w:t xml:space="preserve">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第五部分 采购需求</w:t>
      </w:r>
      <w:r>
        <w:rPr>
          <w:rFonts w:hint="eastAsia" w:ascii="微软雅黑" w:hAnsi="微软雅黑" w:eastAsia="微软雅黑" w:cs="微软雅黑"/>
          <w:color w:val="auto"/>
          <w:kern w:val="0"/>
          <w:sz w:val="24"/>
          <w:highlight w:val="none"/>
          <w:lang w:bidi="ar"/>
        </w:rPr>
        <w:t xml:space="preserve">......................................................................................................42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 xml:space="preserve">第六部分 合同书格式（另册） </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1</w:t>
      </w:r>
      <w:r>
        <w:rPr>
          <w:rFonts w:hint="eastAsia" w:ascii="微软雅黑" w:hAnsi="微软雅黑" w:eastAsia="微软雅黑" w:cs="微软雅黑"/>
          <w:color w:val="auto"/>
          <w:kern w:val="0"/>
          <w:sz w:val="24"/>
          <w:highlight w:val="none"/>
          <w:lang w:bidi="ar"/>
        </w:rPr>
        <w:t xml:space="preserve"> </w:t>
      </w:r>
    </w:p>
    <w:p>
      <w:pPr>
        <w:widowControl/>
        <w:adjustRightInd w:val="0"/>
        <w:snapToGrid w:val="0"/>
        <w:jc w:val="left"/>
        <w:rPr>
          <w:color w:val="auto"/>
          <w:sz w:val="24"/>
          <w:highlight w:val="none"/>
        </w:rPr>
      </w:pPr>
      <w:r>
        <w:rPr>
          <w:rFonts w:hint="eastAsia" w:ascii="宋体" w:hAnsi="宋体" w:eastAsia="宋体" w:cs="宋体"/>
          <w:color w:val="auto"/>
          <w:kern w:val="0"/>
          <w:sz w:val="24"/>
          <w:highlight w:val="none"/>
          <w:lang w:bidi="ar"/>
        </w:rPr>
        <w:t>第七部分 响应文件格式</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2</w:t>
      </w:r>
      <w:r>
        <w:rPr>
          <w:rFonts w:hint="eastAsia" w:ascii="微软雅黑" w:hAnsi="微软雅黑" w:eastAsia="微软雅黑" w:cs="微软雅黑"/>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封面</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3</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 xml:space="preserve">报价表 </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4</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法定代表人资格证明书</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5</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微软雅黑" w:hAnsi="微软雅黑" w:eastAsia="微软雅黑" w:cs="微软雅黑"/>
          <w:color w:val="auto"/>
          <w:kern w:val="0"/>
          <w:sz w:val="24"/>
          <w:highlight w:val="none"/>
          <w:lang w:val="en-US" w:eastAsia="zh-CN" w:bidi="ar"/>
        </w:rPr>
      </w:pPr>
      <w:r>
        <w:rPr>
          <w:rFonts w:hint="eastAsia" w:ascii="宋体" w:hAnsi="宋体" w:eastAsia="宋体" w:cs="宋体"/>
          <w:color w:val="auto"/>
          <w:kern w:val="0"/>
          <w:sz w:val="24"/>
          <w:highlight w:val="none"/>
          <w:lang w:bidi="ar"/>
        </w:rPr>
        <w:t>法定代表人授权委托书</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6</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highlight w:val="none"/>
          <w:lang w:eastAsia="zh-CN" w:bidi="ar"/>
        </w:rPr>
        <w:t>报价人</w:t>
      </w:r>
      <w:r>
        <w:rPr>
          <w:rFonts w:hint="eastAsia" w:ascii="宋体" w:hAnsi="宋体" w:eastAsia="宋体" w:cs="宋体"/>
          <w:color w:val="auto"/>
          <w:kern w:val="0"/>
          <w:sz w:val="24"/>
          <w:highlight w:val="none"/>
          <w:lang w:bidi="ar"/>
        </w:rPr>
        <w:t>声明</w:t>
      </w:r>
      <w:r>
        <w:rPr>
          <w:rFonts w:hint="eastAsia" w:ascii="微软雅黑" w:hAnsi="微软雅黑" w:eastAsia="微软雅黑" w:cs="微软雅黑"/>
          <w:color w:val="auto"/>
          <w:kern w:val="0"/>
          <w:sz w:val="24"/>
          <w:highlight w:val="none"/>
          <w:lang w:bidi="ar"/>
        </w:rPr>
        <w:t>.................................................................................................................5</w:t>
      </w:r>
      <w:r>
        <w:rPr>
          <w:rFonts w:hint="eastAsia" w:ascii="微软雅黑" w:hAnsi="微软雅黑" w:eastAsia="微软雅黑" w:cs="微软雅黑"/>
          <w:color w:val="auto"/>
          <w:kern w:val="0"/>
          <w:sz w:val="24"/>
          <w:highlight w:val="none"/>
          <w:lang w:val="en-US" w:eastAsia="zh-CN" w:bidi="ar"/>
        </w:rPr>
        <w:t>7</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报价意向承诺及声明函</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58</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营业执照</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59</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属地交管部门签章的《机动车维修经营备案表》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60</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或有效期内的原道路运输经营许可证</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60</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val="en-GB" w:eastAsia="zh-CN" w:bidi="ar"/>
        </w:rPr>
      </w:pPr>
      <w:r>
        <w:rPr>
          <w:rFonts w:hint="eastAsia" w:ascii="宋体" w:hAnsi="宋体" w:eastAsia="宋体" w:cs="宋体"/>
          <w:color w:val="auto"/>
          <w:kern w:val="0"/>
          <w:sz w:val="24"/>
          <w:highlight w:val="none"/>
          <w:lang w:val="en-GB" w:eastAsia="zh-CN" w:bidi="ar"/>
        </w:rPr>
        <w:t>报价人</w:t>
      </w:r>
      <w:r>
        <w:rPr>
          <w:rFonts w:hint="eastAsia" w:ascii="宋体" w:hAnsi="宋体" w:eastAsia="宋体" w:cs="宋体"/>
          <w:color w:val="auto"/>
          <w:kern w:val="0"/>
          <w:sz w:val="24"/>
          <w:highlight w:val="none"/>
          <w:lang w:val="en-GB" w:bidi="ar"/>
        </w:rPr>
        <w:t>业绩表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61</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bidi="ar"/>
        </w:rPr>
        <w:t>有效服务点信息及证明材料</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62</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highlight w:val="none"/>
          <w:lang w:bidi="ar"/>
        </w:rPr>
        <w:t>证书一览表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63</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val="en-GB" w:eastAsia="zh-CN" w:bidi="ar"/>
        </w:rPr>
      </w:pPr>
      <w:r>
        <w:rPr>
          <w:rFonts w:hint="eastAsia" w:ascii="宋体" w:hAnsi="宋体" w:eastAsia="宋体" w:cs="宋体"/>
          <w:color w:val="auto"/>
          <w:kern w:val="0"/>
          <w:sz w:val="24"/>
          <w:highlight w:val="none"/>
          <w:lang w:bidi="ar"/>
        </w:rPr>
        <w:t>拟派本项目技术服务人员情况表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64</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微软雅黑" w:hAnsi="微软雅黑" w:eastAsia="微软雅黑" w:cs="微软雅黑"/>
          <w:color w:val="auto"/>
          <w:kern w:val="0"/>
          <w:sz w:val="24"/>
          <w:highlight w:val="none"/>
          <w:lang w:val="en-US" w:eastAsia="zh-CN" w:bidi="ar"/>
        </w:rPr>
      </w:pPr>
      <w:r>
        <w:rPr>
          <w:rFonts w:hint="eastAsia" w:ascii="宋体" w:hAnsi="宋体" w:eastAsia="宋体" w:cs="宋体"/>
          <w:color w:val="auto"/>
          <w:kern w:val="0"/>
          <w:sz w:val="24"/>
          <w:highlight w:val="none"/>
          <w:lang w:eastAsia="zh-CN" w:bidi="ar"/>
        </w:rPr>
        <w:t>报价人</w:t>
      </w:r>
      <w:r>
        <w:rPr>
          <w:rFonts w:hint="eastAsia" w:ascii="宋体" w:hAnsi="宋体" w:eastAsia="宋体" w:cs="宋体"/>
          <w:color w:val="auto"/>
          <w:kern w:val="0"/>
          <w:sz w:val="24"/>
          <w:highlight w:val="none"/>
          <w:lang w:bidi="ar"/>
        </w:rPr>
        <w:t>信誉</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65</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highlight w:val="none"/>
          <w:lang w:bidi="ar"/>
        </w:rPr>
        <w:t>拟投入本项目维修设备情况表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66</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服务方案</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67</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实质性响应条款一览表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68</w:t>
      </w:r>
      <w:r>
        <w:rPr>
          <w:rFonts w:hint="eastAsia" w:ascii="宋体" w:hAnsi="宋体" w:eastAsia="宋体" w:cs="宋体"/>
          <w:color w:val="auto"/>
          <w:kern w:val="0"/>
          <w:sz w:val="24"/>
          <w:highlight w:val="none"/>
          <w:lang w:bidi="ar"/>
        </w:rPr>
        <w:t xml:space="preserve"> </w:t>
      </w:r>
    </w:p>
    <w:p>
      <w:pPr>
        <w:keepNext w:val="0"/>
        <w:keepLines w:val="0"/>
        <w:pageBreakBefore w:val="0"/>
        <w:widowControl/>
        <w:kinsoku/>
        <w:wordWrap/>
        <w:overflowPunct/>
        <w:topLinePunct w:val="0"/>
        <w:autoSpaceDE/>
        <w:autoSpaceDN/>
        <w:bidi w:val="0"/>
        <w:adjustRightInd w:val="0"/>
        <w:snapToGrid w:val="0"/>
        <w:ind w:left="210" w:leftChars="100"/>
        <w:jc w:val="left"/>
        <w:textAlignment w:val="auto"/>
        <w:rPr>
          <w:rFonts w:hint="eastAsia" w:ascii="宋体" w:hAnsi="宋体" w:eastAsia="宋体" w:cs="宋体"/>
          <w:color w:val="auto"/>
          <w:kern w:val="0"/>
          <w:sz w:val="24"/>
          <w:highlight w:val="none"/>
          <w:lang w:eastAsia="zh-CN" w:bidi="ar"/>
        </w:rPr>
      </w:pPr>
      <w:r>
        <w:rPr>
          <w:rFonts w:hint="eastAsia" w:ascii="宋体" w:hAnsi="宋体" w:eastAsia="宋体" w:cs="宋体"/>
          <w:color w:val="auto"/>
          <w:kern w:val="0"/>
          <w:sz w:val="24"/>
          <w:highlight w:val="none"/>
          <w:lang w:bidi="ar"/>
        </w:rPr>
        <w:t>服务方案一般性条款响应差异表</w:t>
      </w:r>
      <w:r>
        <w:rPr>
          <w:rFonts w:hint="eastAsia" w:ascii="微软雅黑" w:hAnsi="微软雅黑" w:eastAsia="微软雅黑" w:cs="微软雅黑"/>
          <w:color w:val="auto"/>
          <w:kern w:val="0"/>
          <w:sz w:val="24"/>
          <w:highlight w:val="none"/>
          <w:lang w:bidi="ar"/>
        </w:rPr>
        <w:t>............................................................................</w:t>
      </w:r>
      <w:r>
        <w:rPr>
          <w:rFonts w:hint="eastAsia" w:ascii="微软雅黑" w:hAnsi="微软雅黑" w:eastAsia="微软雅黑" w:cs="微软雅黑"/>
          <w:color w:val="auto"/>
          <w:kern w:val="0"/>
          <w:sz w:val="24"/>
          <w:highlight w:val="none"/>
          <w:lang w:val="en-US" w:eastAsia="zh-CN" w:bidi="ar"/>
        </w:rPr>
        <w:t>69</w:t>
      </w:r>
    </w:p>
    <w:p>
      <w:pPr>
        <w:widowControl/>
        <w:adjustRightInd w:val="0"/>
        <w:snapToGrid w:val="0"/>
        <w:ind w:left="210" w:leftChars="100"/>
        <w:jc w:val="left"/>
        <w:rPr>
          <w:rFonts w:hint="eastAsia" w:ascii="微软雅黑" w:hAnsi="微软雅黑" w:eastAsia="微软雅黑" w:cs="微软雅黑"/>
          <w:color w:val="auto"/>
          <w:kern w:val="0"/>
          <w:sz w:val="24"/>
          <w:highlight w:val="none"/>
          <w:lang w:bidi="ar"/>
        </w:rPr>
      </w:pPr>
      <w:r>
        <w:rPr>
          <w:rFonts w:hint="eastAsia" w:ascii="微软雅黑" w:hAnsi="微软雅黑" w:eastAsia="微软雅黑" w:cs="微软雅黑"/>
          <w:color w:val="auto"/>
          <w:kern w:val="0"/>
          <w:sz w:val="24"/>
          <w:highlight w:val="none"/>
          <w:lang w:bidi="ar"/>
        </w:rPr>
        <w:t xml:space="preserve"> </w:t>
      </w:r>
    </w:p>
    <w:p>
      <w:pPr>
        <w:ind w:left="210" w:leftChars="100"/>
        <w:jc w:val="left"/>
        <w:rPr>
          <w:rFonts w:ascii="新宋体" w:hAnsi="新宋体" w:eastAsia="新宋体" w:cs="新宋体"/>
          <w:color w:val="auto"/>
          <w:kern w:val="0"/>
          <w:szCs w:val="21"/>
          <w:highlight w:val="none"/>
          <w:lang w:bidi="ar"/>
        </w:rPr>
      </w:pPr>
    </w:p>
    <w:p>
      <w:pPr>
        <w:widowControl/>
        <w:spacing w:line="400" w:lineRule="exact"/>
        <w:ind w:left="210" w:leftChars="100"/>
        <w:jc w:val="center"/>
        <w:rPr>
          <w:rFonts w:ascii="新宋体" w:hAnsi="新宋体" w:eastAsia="新宋体" w:cs="新宋体"/>
          <w:color w:val="auto"/>
          <w:kern w:val="0"/>
          <w:szCs w:val="21"/>
          <w:highlight w:val="none"/>
          <w:lang w:bidi="ar"/>
        </w:rPr>
      </w:pPr>
    </w:p>
    <w:p>
      <w:pPr>
        <w:ind w:left="210" w:leftChars="100"/>
        <w:rPr>
          <w:rFonts w:ascii="新宋体" w:hAnsi="新宋体" w:eastAsia="新宋体" w:cs="新宋体"/>
          <w:b/>
          <w:bCs/>
          <w:color w:val="auto"/>
          <w:kern w:val="0"/>
          <w:sz w:val="32"/>
          <w:szCs w:val="32"/>
          <w:highlight w:val="none"/>
          <w:lang w:bidi="ar"/>
        </w:rPr>
      </w:pPr>
      <w:r>
        <w:rPr>
          <w:rFonts w:hint="eastAsia" w:ascii="新宋体" w:hAnsi="新宋体" w:eastAsia="新宋体" w:cs="新宋体"/>
          <w:b/>
          <w:bCs/>
          <w:color w:val="auto"/>
          <w:kern w:val="0"/>
          <w:sz w:val="32"/>
          <w:szCs w:val="32"/>
          <w:highlight w:val="none"/>
          <w:lang w:bidi="ar"/>
        </w:rPr>
        <w:br w:type="page"/>
      </w:r>
    </w:p>
    <w:p>
      <w:pPr>
        <w:widowControl/>
        <w:spacing w:line="400" w:lineRule="exact"/>
        <w:jc w:val="center"/>
        <w:rPr>
          <w:rFonts w:ascii="新宋体" w:hAnsi="新宋体" w:eastAsia="新宋体" w:cs="新宋体"/>
          <w:color w:val="auto"/>
          <w:sz w:val="32"/>
          <w:szCs w:val="32"/>
          <w:highlight w:val="none"/>
        </w:rPr>
      </w:pPr>
      <w:r>
        <w:rPr>
          <w:rFonts w:hint="eastAsia" w:ascii="新宋体" w:hAnsi="新宋体" w:eastAsia="新宋体" w:cs="新宋体"/>
          <w:b/>
          <w:bCs/>
          <w:color w:val="auto"/>
          <w:kern w:val="0"/>
          <w:sz w:val="32"/>
          <w:szCs w:val="32"/>
          <w:highlight w:val="none"/>
          <w:lang w:bidi="ar"/>
        </w:rPr>
        <w:t>第一部分  采购公告</w:t>
      </w: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ind w:firstLine="482" w:firstLineChars="200"/>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广州市自来水工程有限公司</w:t>
      </w:r>
      <w:r>
        <w:rPr>
          <w:rFonts w:hint="eastAsia" w:ascii="新宋体" w:hAnsi="新宋体" w:eastAsia="新宋体" w:cs="新宋体"/>
          <w:b/>
          <w:bCs/>
          <w:color w:val="auto"/>
          <w:kern w:val="0"/>
          <w:sz w:val="24"/>
          <w:highlight w:val="none"/>
          <w:lang w:eastAsia="zh-CN" w:bidi="ar"/>
        </w:rPr>
        <w:t>2023～2025</w:t>
      </w:r>
      <w:r>
        <w:rPr>
          <w:rFonts w:hint="eastAsia" w:ascii="新宋体" w:hAnsi="新宋体" w:eastAsia="新宋体" w:cs="新宋体"/>
          <w:b/>
          <w:bCs/>
          <w:color w:val="auto"/>
          <w:kern w:val="0"/>
          <w:sz w:val="24"/>
          <w:highlight w:val="none"/>
          <w:lang w:bidi="ar"/>
        </w:rPr>
        <w:t>年度车辆维修保养服务采购项目已具备交易条件，</w:t>
      </w:r>
      <w:r>
        <w:rPr>
          <w:rFonts w:hint="eastAsia" w:ascii="新宋体" w:hAnsi="新宋体" w:eastAsia="新宋体" w:cs="新宋体"/>
          <w:color w:val="auto"/>
          <w:sz w:val="24"/>
          <w:highlight w:val="none"/>
        </w:rPr>
        <w:t>现采购人决定对该项目开展采购活动。现将具体事宜公告如下：</w:t>
      </w:r>
      <w:r>
        <w:rPr>
          <w:rFonts w:hint="eastAsia" w:ascii="新宋体" w:hAnsi="新宋体" w:eastAsia="新宋体" w:cs="新宋体"/>
          <w:color w:val="auto"/>
          <w:kern w:val="0"/>
          <w:sz w:val="24"/>
          <w:highlight w:val="none"/>
          <w:lang w:bidi="ar"/>
        </w:rPr>
        <w:t>。</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一、项目基本情况</w:t>
      </w:r>
    </w:p>
    <w:p>
      <w:pPr>
        <w:spacing w:before="120" w:after="120" w:line="440" w:lineRule="exact"/>
        <w:ind w:firstLine="480" w:firstLineChars="200"/>
        <w:rPr>
          <w:rFonts w:ascii="新宋体" w:hAnsi="新宋体" w:eastAsia="新宋体" w:cs="新宋体"/>
          <w:color w:val="auto"/>
          <w:sz w:val="24"/>
          <w:highlight w:val="none"/>
          <w:u w:val="single"/>
        </w:rPr>
      </w:pPr>
      <w:r>
        <w:rPr>
          <w:rFonts w:hint="eastAsia" w:ascii="新宋体" w:hAnsi="新宋体" w:eastAsia="新宋体" w:cs="新宋体"/>
          <w:color w:val="auto"/>
          <w:sz w:val="24"/>
          <w:highlight w:val="none"/>
        </w:rPr>
        <w:t>1.项目名称：</w:t>
      </w:r>
      <w:r>
        <w:rPr>
          <w:rFonts w:hint="eastAsia" w:ascii="新宋体" w:hAnsi="新宋体" w:eastAsia="新宋体" w:cs="新宋体"/>
          <w:color w:val="auto"/>
          <w:sz w:val="24"/>
          <w:highlight w:val="none"/>
          <w:u w:val="single"/>
        </w:rPr>
        <w:t>广州市自来水工程有限公司</w:t>
      </w:r>
      <w:r>
        <w:rPr>
          <w:rFonts w:hint="eastAsia" w:ascii="新宋体" w:hAnsi="新宋体" w:eastAsia="新宋体" w:cs="新宋体"/>
          <w:color w:val="auto"/>
          <w:sz w:val="24"/>
          <w:highlight w:val="none"/>
          <w:u w:val="single"/>
          <w:lang w:eastAsia="zh-CN"/>
        </w:rPr>
        <w:t>2023～2025</w:t>
      </w:r>
      <w:r>
        <w:rPr>
          <w:rFonts w:hint="eastAsia" w:ascii="新宋体" w:hAnsi="新宋体" w:eastAsia="新宋体" w:cs="新宋体"/>
          <w:color w:val="auto"/>
          <w:sz w:val="24"/>
          <w:highlight w:val="none"/>
          <w:u w:val="single"/>
        </w:rPr>
        <w:t>年度车辆维修保养服务采购项目</w:t>
      </w:r>
    </w:p>
    <w:p>
      <w:pPr>
        <w:spacing w:before="120" w:after="120" w:line="44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sz w:val="24"/>
          <w:highlight w:val="none"/>
        </w:rPr>
        <w:t>2.采购类型：</w:t>
      </w:r>
      <w:r>
        <w:rPr>
          <w:rFonts w:hint="eastAsia" w:ascii="新宋体" w:hAnsi="新宋体" w:eastAsia="新宋体" w:cs="新宋体"/>
          <w:color w:val="auto"/>
          <w:sz w:val="24"/>
          <w:highlight w:val="none"/>
          <w:u w:val="single"/>
        </w:rPr>
        <w:t>服务</w:t>
      </w:r>
    </w:p>
    <w:p>
      <w:pPr>
        <w:spacing w:before="120" w:after="120" w:line="440" w:lineRule="exact"/>
        <w:ind w:firstLine="480" w:firstLineChars="200"/>
        <w:rPr>
          <w:rFonts w:ascii="宋体" w:hAnsi="宋体" w:eastAsia="宋体" w:cs="宋体"/>
          <w:color w:val="auto"/>
          <w:kern w:val="0"/>
          <w:sz w:val="24"/>
          <w:highlight w:val="none"/>
          <w:u w:val="single"/>
          <w:lang w:bidi="ar"/>
        </w:rPr>
      </w:pPr>
      <w:r>
        <w:rPr>
          <w:rFonts w:hint="eastAsia" w:ascii="新宋体" w:hAnsi="新宋体" w:eastAsia="新宋体" w:cs="新宋体"/>
          <w:color w:val="auto"/>
          <w:sz w:val="24"/>
          <w:highlight w:val="none"/>
        </w:rPr>
        <w:t>3.采购内容：</w:t>
      </w:r>
      <w:r>
        <w:rPr>
          <w:rFonts w:ascii="宋体" w:hAnsi="宋体" w:eastAsia="宋体" w:cs="宋体"/>
          <w:color w:val="auto"/>
          <w:kern w:val="0"/>
          <w:sz w:val="24"/>
          <w:highlight w:val="none"/>
          <w:u w:val="single"/>
          <w:lang w:bidi="ar"/>
        </w:rPr>
        <w:t>本项目</w:t>
      </w:r>
      <w:r>
        <w:rPr>
          <w:rFonts w:hint="eastAsia" w:ascii="宋体" w:hAnsi="宋体" w:eastAsia="宋体" w:cs="宋体"/>
          <w:color w:val="auto"/>
          <w:kern w:val="0"/>
          <w:sz w:val="24"/>
          <w:highlight w:val="none"/>
          <w:u w:val="single"/>
          <w:lang w:eastAsia="zh-CN" w:bidi="ar"/>
        </w:rPr>
        <w:t>采购</w:t>
      </w:r>
      <w:r>
        <w:rPr>
          <w:rFonts w:ascii="宋体" w:hAnsi="宋体" w:eastAsia="宋体" w:cs="宋体"/>
          <w:color w:val="auto"/>
          <w:kern w:val="0"/>
          <w:sz w:val="24"/>
          <w:highlight w:val="none"/>
          <w:u w:val="single"/>
          <w:lang w:bidi="ar"/>
        </w:rPr>
        <w:t>车辆定点维</w:t>
      </w:r>
      <w:r>
        <w:rPr>
          <w:rFonts w:hint="eastAsia" w:ascii="宋体" w:hAnsi="宋体" w:eastAsia="宋体" w:cs="宋体"/>
          <w:color w:val="auto"/>
          <w:kern w:val="0"/>
          <w:sz w:val="24"/>
          <w:highlight w:val="none"/>
          <w:u w:val="single"/>
          <w:lang w:eastAsia="zh-CN" w:bidi="ar"/>
        </w:rPr>
        <w:t>保单位</w:t>
      </w:r>
      <w:r>
        <w:rPr>
          <w:rFonts w:ascii="宋体" w:hAnsi="宋体" w:eastAsia="宋体" w:cs="宋体"/>
          <w:color w:val="auto"/>
          <w:kern w:val="0"/>
          <w:sz w:val="24"/>
          <w:highlight w:val="none"/>
          <w:u w:val="single"/>
          <w:lang w:bidi="ar"/>
        </w:rPr>
        <w:t>，为</w:t>
      </w:r>
      <w:r>
        <w:rPr>
          <w:rFonts w:hint="eastAsia" w:ascii="宋体" w:hAnsi="宋体" w:eastAsia="宋体" w:cs="宋体"/>
          <w:color w:val="auto"/>
          <w:kern w:val="0"/>
          <w:sz w:val="24"/>
          <w:highlight w:val="none"/>
          <w:u w:val="single"/>
          <w:lang w:bidi="ar"/>
        </w:rPr>
        <w:t>广州市自来水工程有限公司及下属单位</w:t>
      </w:r>
      <w:r>
        <w:rPr>
          <w:rFonts w:ascii="宋体" w:hAnsi="宋体" w:eastAsia="宋体" w:cs="宋体"/>
          <w:color w:val="auto"/>
          <w:kern w:val="0"/>
          <w:sz w:val="24"/>
          <w:highlight w:val="none"/>
          <w:u w:val="single"/>
          <w:lang w:bidi="ar"/>
        </w:rPr>
        <w:t xml:space="preserve">的 </w:t>
      </w:r>
      <w:r>
        <w:rPr>
          <w:rFonts w:hint="eastAsia" w:ascii="宋体" w:hAnsi="宋体" w:eastAsia="宋体" w:cs="宋体"/>
          <w:color w:val="auto"/>
          <w:kern w:val="0"/>
          <w:sz w:val="24"/>
          <w:highlight w:val="none"/>
          <w:u w:val="single"/>
          <w:lang w:bidi="ar"/>
        </w:rPr>
        <w:t>15</w:t>
      </w:r>
      <w:r>
        <w:rPr>
          <w:rFonts w:hint="eastAsia" w:ascii="宋体" w:hAnsi="宋体" w:eastAsia="宋体" w:cs="宋体"/>
          <w:color w:val="auto"/>
          <w:kern w:val="0"/>
          <w:sz w:val="24"/>
          <w:highlight w:val="none"/>
          <w:u w:val="single"/>
          <w:lang w:val="en-US" w:eastAsia="zh-CN" w:bidi="ar"/>
        </w:rPr>
        <w:t>6</w:t>
      </w:r>
      <w:r>
        <w:rPr>
          <w:rFonts w:ascii="宋体" w:hAnsi="宋体" w:eastAsia="宋体" w:cs="宋体"/>
          <w:color w:val="auto"/>
          <w:kern w:val="0"/>
          <w:sz w:val="24"/>
          <w:highlight w:val="none"/>
          <w:u w:val="single"/>
          <w:lang w:bidi="ar"/>
        </w:rPr>
        <w:t>余台生产车辆整车</w:t>
      </w:r>
      <w:r>
        <w:rPr>
          <w:rFonts w:hint="eastAsia" w:ascii="宋体" w:hAnsi="宋体" w:eastAsia="宋体" w:cs="宋体"/>
          <w:color w:val="auto"/>
          <w:kern w:val="0"/>
          <w:sz w:val="24"/>
          <w:highlight w:val="none"/>
          <w:u w:val="single"/>
          <w:lang w:bidi="ar"/>
        </w:rPr>
        <w:t>（非专项作业车）</w:t>
      </w:r>
      <w:r>
        <w:rPr>
          <w:rFonts w:ascii="宋体" w:hAnsi="宋体" w:eastAsia="宋体" w:cs="宋体"/>
          <w:color w:val="auto"/>
          <w:kern w:val="0"/>
          <w:sz w:val="24"/>
          <w:highlight w:val="none"/>
          <w:u w:val="single"/>
          <w:lang w:bidi="ar"/>
        </w:rPr>
        <w:t>提供维修/保养服务，包括一级维护、二级维护、车辆大修、总成修理、车辆小修和车辆专项修理，二十四小时拖车服务、代办车辆年审服务、 交通事故车辆维修服务和其他有关的汽车维修服务项目等</w:t>
      </w:r>
      <w:r>
        <w:rPr>
          <w:rFonts w:hint="eastAsia" w:ascii="宋体" w:hAnsi="宋体" w:eastAsia="宋体" w:cs="宋体"/>
          <w:color w:val="auto"/>
          <w:kern w:val="0"/>
          <w:sz w:val="24"/>
          <w:highlight w:val="none"/>
          <w:u w:val="single"/>
          <w:lang w:bidi="ar"/>
        </w:rPr>
        <w:t>。（</w:t>
      </w:r>
      <w:r>
        <w:rPr>
          <w:rFonts w:hint="eastAsia" w:ascii="宋体" w:hAnsi="宋体" w:eastAsia="宋体" w:cs="宋体"/>
          <w:i/>
          <w:iCs/>
          <w:color w:val="auto"/>
          <w:kern w:val="0"/>
          <w:sz w:val="24"/>
          <w:highlight w:val="none"/>
          <w:u w:val="single"/>
          <w:lang w:bidi="ar"/>
        </w:rPr>
        <w:t>*</w:t>
      </w:r>
      <w:r>
        <w:rPr>
          <w:rFonts w:ascii="宋体" w:hAnsi="宋体" w:eastAsia="宋体" w:cs="宋体"/>
          <w:i/>
          <w:iCs/>
          <w:color w:val="auto"/>
          <w:kern w:val="0"/>
          <w:sz w:val="24"/>
          <w:highlight w:val="none"/>
          <w:u w:val="single"/>
          <w:lang w:bidi="ar"/>
        </w:rPr>
        <w:t>专项作业车就是装置有专用设备或器具，用于专项作业的汽车。如</w:t>
      </w:r>
      <w:r>
        <w:rPr>
          <w:color w:val="auto"/>
          <w:highlight w:val="none"/>
        </w:rPr>
        <w:fldChar w:fldCharType="begin"/>
      </w:r>
      <w:r>
        <w:rPr>
          <w:color w:val="auto"/>
          <w:highlight w:val="none"/>
        </w:rPr>
        <w:instrText xml:space="preserve"> HYPERLINK "https://baike.so.com/doc/2476342-2617239.html" \t "https://baike.so.com/doc/_blank" </w:instrText>
      </w:r>
      <w:r>
        <w:rPr>
          <w:color w:val="auto"/>
          <w:highlight w:val="none"/>
        </w:rPr>
        <w:fldChar w:fldCharType="separate"/>
      </w:r>
      <w:r>
        <w:rPr>
          <w:rFonts w:hint="eastAsia" w:ascii="宋体" w:hAnsi="宋体" w:eastAsia="宋体" w:cs="宋体"/>
          <w:i/>
          <w:iCs/>
          <w:color w:val="auto"/>
          <w:kern w:val="0"/>
          <w:sz w:val="24"/>
          <w:highlight w:val="none"/>
          <w:u w:val="single"/>
          <w:lang w:bidi="ar"/>
        </w:rPr>
        <w:t>市政抓斗</w:t>
      </w:r>
      <w:r>
        <w:rPr>
          <w:rFonts w:ascii="宋体" w:hAnsi="宋体" w:eastAsia="宋体" w:cs="宋体"/>
          <w:i/>
          <w:iCs/>
          <w:color w:val="auto"/>
          <w:kern w:val="0"/>
          <w:sz w:val="24"/>
          <w:highlight w:val="none"/>
          <w:u w:val="single"/>
          <w:lang w:bidi="ar"/>
        </w:rPr>
        <w:t>车</w:t>
      </w:r>
      <w:r>
        <w:rPr>
          <w:rFonts w:ascii="宋体" w:hAnsi="宋体" w:eastAsia="宋体" w:cs="宋体"/>
          <w:i/>
          <w:iCs/>
          <w:color w:val="auto"/>
          <w:kern w:val="0"/>
          <w:sz w:val="24"/>
          <w:highlight w:val="none"/>
          <w:u w:val="single"/>
          <w:lang w:bidi="ar"/>
        </w:rPr>
        <w:fldChar w:fldCharType="end"/>
      </w:r>
      <w:r>
        <w:rPr>
          <w:rFonts w:ascii="宋体" w:hAnsi="宋体" w:eastAsia="宋体" w:cs="宋体"/>
          <w:i/>
          <w:iCs/>
          <w:color w:val="auto"/>
          <w:kern w:val="0"/>
          <w:sz w:val="24"/>
          <w:highlight w:val="none"/>
          <w:u w:val="single"/>
          <w:lang w:bidi="ar"/>
        </w:rPr>
        <w:t>、</w:t>
      </w:r>
      <w:r>
        <w:rPr>
          <w:color w:val="auto"/>
          <w:highlight w:val="none"/>
        </w:rPr>
        <w:fldChar w:fldCharType="begin"/>
      </w:r>
      <w:r>
        <w:rPr>
          <w:color w:val="auto"/>
          <w:highlight w:val="none"/>
        </w:rPr>
        <w:instrText xml:space="preserve"> HYPERLINK "https://baike.so.com/doc/5340241-5575684.html" \t "https://baike.so.com/doc/_blank" </w:instrText>
      </w:r>
      <w:r>
        <w:rPr>
          <w:color w:val="auto"/>
          <w:highlight w:val="none"/>
        </w:rPr>
        <w:fldChar w:fldCharType="separate"/>
      </w:r>
      <w:r>
        <w:rPr>
          <w:rFonts w:ascii="宋体" w:hAnsi="宋体" w:eastAsia="宋体" w:cs="宋体"/>
          <w:i/>
          <w:iCs/>
          <w:color w:val="auto"/>
          <w:kern w:val="0"/>
          <w:sz w:val="24"/>
          <w:highlight w:val="none"/>
          <w:u w:val="single"/>
          <w:lang w:bidi="ar"/>
        </w:rPr>
        <w:t>洒水车</w:t>
      </w:r>
      <w:r>
        <w:rPr>
          <w:rFonts w:ascii="宋体" w:hAnsi="宋体" w:eastAsia="宋体" w:cs="宋体"/>
          <w:i/>
          <w:iCs/>
          <w:color w:val="auto"/>
          <w:kern w:val="0"/>
          <w:sz w:val="24"/>
          <w:highlight w:val="none"/>
          <w:u w:val="single"/>
          <w:lang w:bidi="ar"/>
        </w:rPr>
        <w:fldChar w:fldCharType="end"/>
      </w:r>
      <w:r>
        <w:rPr>
          <w:rFonts w:ascii="宋体" w:hAnsi="宋体" w:eastAsia="宋体" w:cs="宋体"/>
          <w:i/>
          <w:iCs/>
          <w:color w:val="auto"/>
          <w:kern w:val="0"/>
          <w:sz w:val="24"/>
          <w:highlight w:val="none"/>
          <w:u w:val="single"/>
          <w:lang w:bidi="ar"/>
        </w:rPr>
        <w:t>、吸污车、</w:t>
      </w:r>
      <w:r>
        <w:rPr>
          <w:color w:val="auto"/>
          <w:highlight w:val="none"/>
        </w:rPr>
        <w:fldChar w:fldCharType="begin"/>
      </w:r>
      <w:r>
        <w:rPr>
          <w:color w:val="auto"/>
          <w:highlight w:val="none"/>
        </w:rPr>
        <w:instrText xml:space="preserve"> HYPERLINK "https://baike.so.com/doc/5248476-5481614.html" \t "https://baike.so.com/doc/_blank" </w:instrText>
      </w:r>
      <w:r>
        <w:rPr>
          <w:color w:val="auto"/>
          <w:highlight w:val="none"/>
        </w:rPr>
        <w:fldChar w:fldCharType="separate"/>
      </w:r>
      <w:r>
        <w:rPr>
          <w:rFonts w:ascii="宋体" w:hAnsi="宋体" w:eastAsia="宋体" w:cs="宋体"/>
          <w:i/>
          <w:iCs/>
          <w:color w:val="auto"/>
          <w:kern w:val="0"/>
          <w:sz w:val="24"/>
          <w:highlight w:val="none"/>
          <w:u w:val="single"/>
          <w:lang w:bidi="ar"/>
        </w:rPr>
        <w:t>起重车</w:t>
      </w:r>
      <w:r>
        <w:rPr>
          <w:rFonts w:ascii="宋体" w:hAnsi="宋体" w:eastAsia="宋体" w:cs="宋体"/>
          <w:i/>
          <w:iCs/>
          <w:color w:val="auto"/>
          <w:kern w:val="0"/>
          <w:sz w:val="24"/>
          <w:highlight w:val="none"/>
          <w:u w:val="single"/>
          <w:lang w:bidi="ar"/>
        </w:rPr>
        <w:fldChar w:fldCharType="end"/>
      </w:r>
      <w:r>
        <w:rPr>
          <w:rFonts w:ascii="宋体" w:hAnsi="宋体" w:eastAsia="宋体" w:cs="宋体"/>
          <w:i/>
          <w:iCs/>
          <w:color w:val="auto"/>
          <w:kern w:val="0"/>
          <w:sz w:val="24"/>
          <w:highlight w:val="none"/>
          <w:u w:val="single"/>
          <w:lang w:bidi="ar"/>
        </w:rPr>
        <w:t>等</w:t>
      </w:r>
      <w:r>
        <w:rPr>
          <w:rFonts w:hint="eastAsia" w:ascii="宋体" w:hAnsi="宋体" w:eastAsia="宋体" w:cs="宋体"/>
          <w:color w:val="auto"/>
          <w:kern w:val="0"/>
          <w:sz w:val="24"/>
          <w:highlight w:val="none"/>
          <w:u w:val="single"/>
          <w:lang w:bidi="ar"/>
        </w:rPr>
        <w:t>）</w:t>
      </w:r>
    </w:p>
    <w:p>
      <w:pPr>
        <w:spacing w:before="120" w:after="120" w:line="44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sz w:val="24"/>
          <w:highlight w:val="none"/>
        </w:rPr>
        <w:t>4.采购方式：</w:t>
      </w:r>
      <w:r>
        <w:rPr>
          <w:rFonts w:hint="eastAsia" w:ascii="新宋体" w:hAnsi="新宋体" w:eastAsia="新宋体" w:cs="新宋体"/>
          <w:color w:val="auto"/>
          <w:sz w:val="24"/>
          <w:highlight w:val="none"/>
          <w:u w:val="single"/>
        </w:rPr>
        <w:t xml:space="preserve">   </w:t>
      </w:r>
      <w:r>
        <w:rPr>
          <w:rFonts w:hint="eastAsia" w:ascii="新宋体" w:hAnsi="新宋体" w:eastAsia="新宋体" w:cs="新宋体"/>
          <w:color w:val="auto"/>
          <w:sz w:val="24"/>
          <w:highlight w:val="none"/>
          <w:u w:val="single"/>
          <w:lang w:eastAsia="zh-CN"/>
        </w:rPr>
        <w:t>公开</w:t>
      </w:r>
      <w:r>
        <w:rPr>
          <w:rFonts w:hint="eastAsia" w:ascii="新宋体" w:hAnsi="新宋体" w:eastAsia="新宋体" w:cs="新宋体"/>
          <w:color w:val="auto"/>
          <w:sz w:val="24"/>
          <w:highlight w:val="none"/>
          <w:u w:val="single"/>
        </w:rPr>
        <w:t xml:space="preserve">询比  </w:t>
      </w:r>
    </w:p>
    <w:p>
      <w:pPr>
        <w:spacing w:before="120" w:after="120" w:line="440" w:lineRule="exact"/>
        <w:ind w:firstLine="480" w:firstLineChars="200"/>
        <w:rPr>
          <w:rFonts w:ascii="新宋体" w:hAnsi="新宋体" w:eastAsia="新宋体" w:cs="新宋体"/>
          <w:color w:val="auto"/>
          <w:sz w:val="24"/>
          <w:highlight w:val="none"/>
          <w:u w:val="single"/>
        </w:rPr>
      </w:pPr>
      <w:r>
        <w:rPr>
          <w:rFonts w:hint="eastAsia" w:ascii="新宋体" w:hAnsi="新宋体" w:eastAsia="新宋体" w:cs="新宋体"/>
          <w:color w:val="auto"/>
          <w:sz w:val="24"/>
          <w:highlight w:val="none"/>
        </w:rPr>
        <w:t>5.资金来源：</w:t>
      </w:r>
      <w:r>
        <w:rPr>
          <w:rFonts w:hint="eastAsia" w:ascii="新宋体" w:hAnsi="新宋体" w:eastAsia="新宋体" w:cs="新宋体"/>
          <w:color w:val="auto"/>
          <w:sz w:val="24"/>
          <w:highlight w:val="none"/>
          <w:u w:val="single"/>
        </w:rPr>
        <w:t xml:space="preserve">  </w:t>
      </w:r>
      <w:r>
        <w:rPr>
          <w:rFonts w:hint="eastAsia" w:ascii="新宋体" w:hAnsi="新宋体" w:eastAsia="新宋体" w:cs="新宋体"/>
          <w:color w:val="auto"/>
          <w:sz w:val="24"/>
          <w:highlight w:val="none"/>
          <w:u w:val="single"/>
          <w:lang w:val="en-US" w:eastAsia="zh-CN"/>
        </w:rPr>
        <w:t xml:space="preserve"> </w:t>
      </w:r>
      <w:r>
        <w:rPr>
          <w:rFonts w:hint="eastAsia" w:ascii="新宋体" w:hAnsi="新宋体" w:eastAsia="新宋体" w:cs="新宋体"/>
          <w:color w:val="auto"/>
          <w:sz w:val="24"/>
          <w:highlight w:val="none"/>
          <w:u w:val="single"/>
        </w:rPr>
        <w:t xml:space="preserve">自筹资金  </w:t>
      </w:r>
    </w:p>
    <w:p>
      <w:pPr>
        <w:spacing w:before="120" w:after="120" w:line="440" w:lineRule="exact"/>
        <w:ind w:firstLine="480" w:firstLineChars="200"/>
        <w:rPr>
          <w:rFonts w:ascii="新宋体" w:hAnsi="新宋体" w:eastAsia="新宋体" w:cs="新宋体"/>
          <w:color w:val="auto"/>
          <w:sz w:val="24"/>
          <w:highlight w:val="none"/>
          <w:u w:val="single"/>
        </w:rPr>
      </w:pPr>
      <w:r>
        <w:rPr>
          <w:rFonts w:hint="eastAsia" w:ascii="新宋体" w:hAnsi="新宋体" w:eastAsia="新宋体" w:cs="新宋体"/>
          <w:color w:val="auto"/>
          <w:sz w:val="24"/>
          <w:highlight w:val="none"/>
        </w:rPr>
        <w:t>6.服务地点：</w:t>
      </w:r>
      <w:r>
        <w:rPr>
          <w:rFonts w:hint="eastAsia" w:ascii="新宋体" w:hAnsi="新宋体" w:eastAsia="新宋体" w:cs="新宋体"/>
          <w:color w:val="auto"/>
          <w:sz w:val="24"/>
          <w:highlight w:val="none"/>
          <w:u w:val="single"/>
        </w:rPr>
        <w:t xml:space="preserve">   广州市自来水工程有限公司   </w:t>
      </w:r>
    </w:p>
    <w:p>
      <w:pPr>
        <w:spacing w:before="120" w:after="120" w:line="440" w:lineRule="exact"/>
        <w:ind w:firstLine="480" w:firstLineChars="200"/>
        <w:rPr>
          <w:rFonts w:ascii="新宋体" w:hAnsi="新宋体" w:eastAsia="新宋体" w:cs="新宋体"/>
          <w:color w:val="auto"/>
          <w:sz w:val="24"/>
          <w:highlight w:val="none"/>
          <w:u w:val="single"/>
        </w:rPr>
      </w:pPr>
      <w:r>
        <w:rPr>
          <w:rFonts w:hint="eastAsia" w:ascii="新宋体" w:hAnsi="新宋体" w:eastAsia="新宋体" w:cs="新宋体"/>
          <w:color w:val="auto"/>
          <w:sz w:val="24"/>
          <w:highlight w:val="none"/>
        </w:rPr>
        <w:t>7.服务期：</w:t>
      </w:r>
      <w:r>
        <w:rPr>
          <w:rFonts w:hint="eastAsia" w:ascii="新宋体" w:hAnsi="新宋体" w:eastAsia="新宋体" w:cs="新宋体"/>
          <w:color w:val="auto"/>
          <w:sz w:val="24"/>
          <w:highlight w:val="none"/>
          <w:u w:val="single"/>
        </w:rPr>
        <w:t xml:space="preserve">  签订服务合同的第2个自然月起两周年 </w:t>
      </w:r>
    </w:p>
    <w:p>
      <w:pPr>
        <w:spacing w:before="120" w:after="120" w:line="440" w:lineRule="exact"/>
        <w:ind w:firstLine="480" w:firstLineChars="200"/>
        <w:rPr>
          <w:rFonts w:hint="eastAsia" w:ascii="新宋体" w:hAnsi="新宋体" w:eastAsia="新宋体" w:cs="新宋体"/>
          <w:color w:val="auto"/>
          <w:sz w:val="24"/>
          <w:highlight w:val="none"/>
          <w:lang w:eastAsia="zh-CN"/>
        </w:rPr>
      </w:pPr>
      <w:r>
        <w:rPr>
          <w:rFonts w:hint="eastAsia" w:ascii="新宋体" w:hAnsi="新宋体" w:eastAsia="新宋体" w:cs="新宋体"/>
          <w:color w:val="auto"/>
          <w:sz w:val="24"/>
          <w:highlight w:val="none"/>
        </w:rPr>
        <w:t>8.本次采购划分为</w:t>
      </w:r>
      <w:r>
        <w:rPr>
          <w:rFonts w:hint="eastAsia" w:ascii="新宋体" w:hAnsi="新宋体" w:eastAsia="新宋体" w:cs="新宋体"/>
          <w:color w:val="auto"/>
          <w:sz w:val="24"/>
          <w:highlight w:val="none"/>
          <w:u w:val="single"/>
        </w:rPr>
        <w:t xml:space="preserve">  3  </w:t>
      </w:r>
      <w:r>
        <w:rPr>
          <w:rFonts w:hint="eastAsia" w:ascii="新宋体" w:hAnsi="新宋体" w:eastAsia="新宋体" w:cs="新宋体"/>
          <w:color w:val="auto"/>
          <w:sz w:val="24"/>
          <w:highlight w:val="none"/>
        </w:rPr>
        <w:t>个</w:t>
      </w:r>
      <w:r>
        <w:rPr>
          <w:rFonts w:hint="eastAsia" w:ascii="新宋体" w:hAnsi="新宋体" w:eastAsia="新宋体" w:cs="新宋体"/>
          <w:color w:val="auto"/>
          <w:sz w:val="24"/>
          <w:highlight w:val="none"/>
          <w:lang w:eastAsia="zh-CN"/>
        </w:rPr>
        <w:t>标段</w:t>
      </w:r>
    </w:p>
    <w:p>
      <w:pPr>
        <w:spacing w:before="120" w:after="120" w:line="440" w:lineRule="exact"/>
        <w:ind w:firstLine="480" w:firstLineChars="200"/>
        <w:rPr>
          <w:rFonts w:ascii="宋体" w:hAnsi="宋体" w:eastAsia="宋体" w:cs="宋体"/>
          <w:color w:val="auto"/>
          <w:kern w:val="0"/>
          <w:sz w:val="24"/>
          <w:highlight w:val="none"/>
          <w:u w:val="single"/>
          <w:lang w:bidi="ar"/>
        </w:rPr>
      </w:pPr>
      <w:r>
        <w:rPr>
          <w:rFonts w:hint="eastAsia" w:ascii="新宋体" w:hAnsi="新宋体" w:eastAsia="新宋体" w:cs="新宋体"/>
          <w:color w:val="auto"/>
          <w:kern w:val="0"/>
          <w:sz w:val="24"/>
          <w:highlight w:val="none"/>
          <w:lang w:bidi="ar"/>
        </w:rPr>
        <w:t>9.总预算：</w:t>
      </w:r>
      <w:r>
        <w:rPr>
          <w:rFonts w:hint="eastAsia" w:ascii="新宋体" w:hAnsi="新宋体" w:eastAsia="新宋体" w:cs="新宋体"/>
          <w:color w:val="auto"/>
          <w:kern w:val="0"/>
          <w:sz w:val="24"/>
          <w:highlight w:val="none"/>
          <w:u w:val="single"/>
          <w:lang w:eastAsia="zh-CN" w:bidi="ar"/>
        </w:rPr>
        <w:t>￥140万元/年，其中标段一的预算为￥55万元/年，标段二的预算为￥50万元/年，标段三的预算为￥35万元/年</w:t>
      </w:r>
      <w:r>
        <w:rPr>
          <w:rFonts w:hint="eastAsia" w:ascii="新宋体" w:hAnsi="新宋体" w:eastAsia="新宋体" w:cs="新宋体"/>
          <w:color w:val="auto"/>
          <w:kern w:val="0"/>
          <w:sz w:val="24"/>
          <w:highlight w:val="none"/>
          <w:u w:val="single"/>
          <w:lang w:bidi="ar"/>
        </w:rPr>
        <w:t>。</w:t>
      </w:r>
      <w:r>
        <w:rPr>
          <w:rFonts w:hint="eastAsia" w:ascii="宋体" w:hAnsi="宋体" w:eastAsia="宋体" w:cs="宋体"/>
          <w:color w:val="auto"/>
          <w:kern w:val="0"/>
          <w:sz w:val="24"/>
          <w:highlight w:val="none"/>
          <w:u w:val="single"/>
          <w:lang w:bidi="ar"/>
        </w:rPr>
        <w:t>（</w:t>
      </w:r>
      <w:r>
        <w:rPr>
          <w:rFonts w:hint="eastAsia" w:ascii="宋体" w:hAnsi="宋体" w:eastAsia="宋体" w:cs="宋体"/>
          <w:i/>
          <w:iCs/>
          <w:color w:val="auto"/>
          <w:kern w:val="0"/>
          <w:sz w:val="24"/>
          <w:highlight w:val="none"/>
          <w:u w:val="single"/>
          <w:lang w:bidi="ar"/>
        </w:rPr>
        <w:t>*预算金额是根据</w:t>
      </w:r>
      <w:r>
        <w:rPr>
          <w:rFonts w:hint="eastAsia" w:ascii="宋体" w:hAnsi="宋体" w:eastAsia="宋体" w:cs="宋体"/>
          <w:i/>
          <w:iCs/>
          <w:color w:val="auto"/>
          <w:kern w:val="0"/>
          <w:sz w:val="24"/>
          <w:highlight w:val="none"/>
          <w:u w:val="single"/>
          <w:lang w:eastAsia="zh-CN" w:bidi="ar"/>
        </w:rPr>
        <w:t>近三</w:t>
      </w:r>
      <w:r>
        <w:rPr>
          <w:rFonts w:hint="eastAsia" w:ascii="宋体" w:hAnsi="宋体" w:eastAsia="宋体" w:cs="宋体"/>
          <w:i/>
          <w:iCs/>
          <w:color w:val="auto"/>
          <w:kern w:val="0"/>
          <w:sz w:val="24"/>
          <w:highlight w:val="none"/>
          <w:u w:val="single"/>
          <w:lang w:bidi="ar"/>
        </w:rPr>
        <w:t>年实际发生的维修保养费用统计后的估算，不作为合同终止的条件</w:t>
      </w:r>
      <w:r>
        <w:rPr>
          <w:rFonts w:hint="eastAsia" w:ascii="宋体" w:hAnsi="宋体" w:eastAsia="宋体" w:cs="宋体"/>
          <w:color w:val="auto"/>
          <w:kern w:val="0"/>
          <w:sz w:val="24"/>
          <w:highlight w:val="none"/>
          <w:u w:val="single"/>
          <w:lang w:bidi="ar"/>
        </w:rPr>
        <w:t>）。</w:t>
      </w:r>
    </w:p>
    <w:p>
      <w:pPr>
        <w:spacing w:before="120" w:after="120" w:line="440" w:lineRule="exact"/>
        <w:ind w:firstLine="480" w:firstLineChars="200"/>
        <w:rPr>
          <w:rFonts w:ascii="宋体" w:hAnsi="宋体" w:eastAsia="宋体" w:cs="宋体"/>
          <w:color w:val="auto"/>
          <w:kern w:val="0"/>
          <w:sz w:val="24"/>
          <w:highlight w:val="none"/>
          <w:u w:val="single"/>
          <w:lang w:bidi="ar"/>
        </w:rPr>
      </w:pPr>
      <w:r>
        <w:rPr>
          <w:rFonts w:hint="eastAsia" w:ascii="宋体" w:hAnsi="宋体" w:eastAsia="宋体" w:cs="宋体"/>
          <w:color w:val="auto"/>
          <w:kern w:val="0"/>
          <w:sz w:val="24"/>
          <w:highlight w:val="none"/>
          <w:lang w:bidi="ar"/>
        </w:rPr>
        <w:t>10.其它：</w:t>
      </w:r>
      <w:r>
        <w:rPr>
          <w:rFonts w:hint="eastAsia" w:ascii="宋体" w:hAnsi="宋体" w:eastAsia="宋体" w:cs="宋体"/>
          <w:color w:val="auto"/>
          <w:kern w:val="0"/>
          <w:sz w:val="24"/>
          <w:highlight w:val="none"/>
          <w:u w:val="single"/>
          <w:lang w:bidi="ar"/>
        </w:rPr>
        <w:t>本</w:t>
      </w:r>
      <w:r>
        <w:rPr>
          <w:rFonts w:hint="eastAsia" w:ascii="宋体" w:hAnsi="宋体" w:eastAsia="宋体" w:cs="宋体"/>
          <w:color w:val="auto"/>
          <w:kern w:val="0"/>
          <w:sz w:val="24"/>
          <w:highlight w:val="none"/>
          <w:u w:val="single"/>
          <w:lang w:eastAsia="zh-CN" w:bidi="ar"/>
        </w:rPr>
        <w:t>项目</w:t>
      </w:r>
      <w:r>
        <w:rPr>
          <w:rFonts w:hint="eastAsia" w:ascii="宋体" w:hAnsi="宋体" w:eastAsia="宋体" w:cs="宋体"/>
          <w:color w:val="auto"/>
          <w:kern w:val="0"/>
          <w:sz w:val="24"/>
          <w:highlight w:val="none"/>
          <w:u w:val="single"/>
          <w:lang w:bidi="ar"/>
        </w:rPr>
        <w:t>采购实行统购分签模式，</w:t>
      </w:r>
      <w:r>
        <w:rPr>
          <w:rFonts w:hint="eastAsia" w:ascii="宋体" w:hAnsi="宋体" w:eastAsia="宋体" w:cs="宋体"/>
          <w:color w:val="auto"/>
          <w:kern w:val="0"/>
          <w:sz w:val="24"/>
          <w:highlight w:val="none"/>
          <w:u w:val="single"/>
          <w:lang w:eastAsia="zh-CN" w:bidi="ar"/>
        </w:rPr>
        <w:t>各标段中选人</w:t>
      </w:r>
      <w:r>
        <w:rPr>
          <w:rFonts w:hint="eastAsia" w:ascii="宋体" w:hAnsi="宋体" w:eastAsia="宋体" w:cs="宋体"/>
          <w:color w:val="auto"/>
          <w:kern w:val="0"/>
          <w:sz w:val="24"/>
          <w:highlight w:val="none"/>
          <w:u w:val="single"/>
          <w:lang w:bidi="ar"/>
        </w:rPr>
        <w:t>需与</w:t>
      </w:r>
      <w:r>
        <w:rPr>
          <w:rFonts w:hint="eastAsia" w:ascii="宋体" w:hAnsi="宋体" w:eastAsia="宋体" w:cs="宋体"/>
          <w:color w:val="auto"/>
          <w:kern w:val="0"/>
          <w:sz w:val="24"/>
          <w:highlight w:val="none"/>
          <w:u w:val="single"/>
          <w:lang w:eastAsia="zh-CN" w:bidi="ar"/>
        </w:rPr>
        <w:t>采购人就服务对象</w:t>
      </w:r>
      <w:r>
        <w:rPr>
          <w:rFonts w:hint="eastAsia" w:ascii="宋体" w:hAnsi="宋体" w:eastAsia="宋体" w:cs="宋体"/>
          <w:color w:val="auto"/>
          <w:kern w:val="0"/>
          <w:sz w:val="24"/>
          <w:highlight w:val="none"/>
          <w:u w:val="single"/>
          <w:lang w:bidi="ar"/>
        </w:rPr>
        <w:t>签</w:t>
      </w:r>
      <w:r>
        <w:rPr>
          <w:rFonts w:hint="eastAsia" w:ascii="宋体" w:hAnsi="宋体" w:eastAsia="宋体" w:cs="宋体"/>
          <w:color w:val="auto"/>
          <w:kern w:val="0"/>
          <w:sz w:val="24"/>
          <w:highlight w:val="none"/>
          <w:u w:val="single"/>
          <w:lang w:eastAsia="zh-CN" w:bidi="ar"/>
        </w:rPr>
        <w:t>订一份或多份服务合同（签约单位分别是：广州市自来水工程有限公司、广州自来水专业建安有限公司、广州自来水管道工程有限公司、广州市自来水制管有限公司、广州市润水物业管理有限公司）</w:t>
      </w:r>
      <w:r>
        <w:rPr>
          <w:rFonts w:hint="eastAsia" w:ascii="宋体" w:hAnsi="宋体" w:eastAsia="宋体" w:cs="宋体"/>
          <w:color w:val="auto"/>
          <w:kern w:val="0"/>
          <w:sz w:val="24"/>
          <w:highlight w:val="none"/>
          <w:u w:val="single"/>
          <w:lang w:bidi="ar"/>
        </w:rPr>
        <w:t>。服务期限为二年，合同一年一签，合同一年期满后，根据中选人的服务质量，</w:t>
      </w:r>
      <w:r>
        <w:rPr>
          <w:rFonts w:hint="eastAsia" w:ascii="宋体" w:hAnsi="宋体" w:eastAsia="宋体" w:cs="宋体"/>
          <w:color w:val="auto"/>
          <w:kern w:val="0"/>
          <w:sz w:val="24"/>
          <w:highlight w:val="none"/>
          <w:u w:val="single"/>
          <w:lang w:eastAsia="zh-CN" w:bidi="ar"/>
        </w:rPr>
        <w:t>采购人</w:t>
      </w:r>
      <w:r>
        <w:rPr>
          <w:rFonts w:hint="eastAsia" w:ascii="宋体" w:hAnsi="宋体" w:eastAsia="宋体" w:cs="宋体"/>
          <w:color w:val="auto"/>
          <w:kern w:val="0"/>
          <w:sz w:val="24"/>
          <w:highlight w:val="none"/>
          <w:u w:val="single"/>
          <w:lang w:bidi="ar"/>
        </w:rPr>
        <w:t>有权决定是否续签第二年合同；如不续签，则采用其他规定的方式选出新的</w:t>
      </w:r>
      <w:r>
        <w:rPr>
          <w:rFonts w:hint="eastAsia" w:ascii="宋体" w:hAnsi="宋体" w:eastAsia="宋体" w:cs="宋体"/>
          <w:color w:val="auto"/>
          <w:kern w:val="0"/>
          <w:sz w:val="24"/>
          <w:highlight w:val="none"/>
          <w:u w:val="single"/>
          <w:lang w:eastAsia="zh-CN" w:bidi="ar"/>
        </w:rPr>
        <w:t>维保</w:t>
      </w:r>
      <w:r>
        <w:rPr>
          <w:rFonts w:hint="eastAsia" w:ascii="宋体" w:hAnsi="宋体" w:eastAsia="宋体" w:cs="宋体"/>
          <w:color w:val="auto"/>
          <w:kern w:val="0"/>
          <w:sz w:val="24"/>
          <w:highlight w:val="none"/>
          <w:u w:val="single"/>
          <w:lang w:bidi="ar"/>
        </w:rPr>
        <w:t xml:space="preserve">单位。 </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二、</w:t>
      </w:r>
      <w:r>
        <w:rPr>
          <w:rFonts w:hint="eastAsia" w:ascii="新宋体" w:hAnsi="新宋体" w:eastAsia="新宋体" w:cs="新宋体"/>
          <w:b/>
          <w:bCs/>
          <w:color w:val="auto"/>
          <w:kern w:val="0"/>
          <w:sz w:val="24"/>
          <w:highlight w:val="none"/>
          <w:lang w:eastAsia="zh-CN" w:bidi="ar"/>
        </w:rPr>
        <w:t>报价人</w:t>
      </w:r>
      <w:r>
        <w:rPr>
          <w:rFonts w:hint="eastAsia" w:ascii="新宋体" w:hAnsi="新宋体" w:eastAsia="新宋体" w:cs="新宋体"/>
          <w:b/>
          <w:bCs/>
          <w:color w:val="auto"/>
          <w:kern w:val="0"/>
          <w:sz w:val="24"/>
          <w:highlight w:val="none"/>
          <w:lang w:bidi="ar"/>
        </w:rPr>
        <w:t>条件</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应满足如下资格要求：</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1.中华人民共和国境内注册的独立法人，持有工商行政管理部门核发的营业执照。</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2.根据《广州市交通运输局转发交通运输部办公厅关于贯彻落实〈机动车维修管理规定〉的通知》（穗交运函﹝2019﹞2379号）的要求，</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须提供完成属地交管部门签章的《机动车维修经营备案表》或有效期内的原道路运输经营许可证。且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具备二类或以上汽车维修资质。</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不得存在下列情形之一（</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询比响应时需提供加盖公章的不存在资格条件要求“报价不得存在下列情形之一”规定情况的声明函）：</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1</w:t>
      </w:r>
      <w:r>
        <w:rPr>
          <w:rFonts w:hint="eastAsia" w:ascii="新宋体" w:hAnsi="新宋体" w:eastAsia="新宋体" w:cs="新宋体"/>
          <w:color w:val="auto"/>
          <w:kern w:val="0"/>
          <w:sz w:val="24"/>
          <w:highlight w:val="none"/>
          <w:lang w:bidi="ar"/>
        </w:rPr>
        <w:t>.与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存在利害关系且可能影响采购公正性；</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2</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项目的其他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为同一个单位负责人；</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3</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项目的其他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存在控股、管理关系；</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4</w:t>
      </w:r>
      <w:r>
        <w:rPr>
          <w:rFonts w:hint="eastAsia" w:ascii="新宋体" w:hAnsi="新宋体" w:eastAsia="新宋体" w:cs="新宋体"/>
          <w:color w:val="auto"/>
          <w:kern w:val="0"/>
          <w:sz w:val="24"/>
          <w:highlight w:val="none"/>
          <w:lang w:bidi="ar"/>
        </w:rPr>
        <w:t>.被依法暂停或者取消投标资格；</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5</w:t>
      </w:r>
      <w:r>
        <w:rPr>
          <w:rFonts w:hint="eastAsia" w:ascii="新宋体" w:hAnsi="新宋体" w:eastAsia="新宋体" w:cs="新宋体"/>
          <w:color w:val="auto"/>
          <w:kern w:val="0"/>
          <w:sz w:val="24"/>
          <w:highlight w:val="none"/>
          <w:lang w:bidi="ar"/>
        </w:rPr>
        <w:t>.被责令停产停业、暂扣或者吊销许可证、暂扣或者吊销执照；</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6</w:t>
      </w:r>
      <w:r>
        <w:rPr>
          <w:rFonts w:hint="eastAsia" w:ascii="新宋体" w:hAnsi="新宋体" w:eastAsia="新宋体" w:cs="新宋体"/>
          <w:color w:val="auto"/>
          <w:kern w:val="0"/>
          <w:sz w:val="24"/>
          <w:highlight w:val="none"/>
          <w:lang w:bidi="ar"/>
        </w:rPr>
        <w:t>.进入清算程序，或被宣告破产，或其他丧失履约能力的情形；</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7</w:t>
      </w:r>
      <w:r>
        <w:rPr>
          <w:rFonts w:hint="eastAsia" w:ascii="新宋体" w:hAnsi="新宋体" w:eastAsia="新宋体" w:cs="新宋体"/>
          <w:color w:val="auto"/>
          <w:kern w:val="0"/>
          <w:sz w:val="24"/>
          <w:highlight w:val="none"/>
          <w:lang w:bidi="ar"/>
        </w:rPr>
        <w:t>.在最近三年内发生重大质量问题；</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US" w:eastAsia="zh-CN" w:bidi="ar"/>
        </w:rPr>
        <w:t>8</w:t>
      </w:r>
      <w:r>
        <w:rPr>
          <w:rFonts w:hint="eastAsia" w:ascii="新宋体" w:hAnsi="新宋体" w:eastAsia="新宋体" w:cs="新宋体"/>
          <w:color w:val="auto"/>
          <w:kern w:val="0"/>
          <w:sz w:val="24"/>
          <w:highlight w:val="none"/>
          <w:lang w:bidi="ar"/>
        </w:rPr>
        <w:t>.被工商行政管理机关在全国企业信用信息公示系统中列入严重违法失信企业名单；</w:t>
      </w:r>
    </w:p>
    <w:p>
      <w:pPr>
        <w:widowControl/>
        <w:spacing w:line="400" w:lineRule="exact"/>
        <w:ind w:firstLine="480" w:firstLineChars="200"/>
        <w:jc w:val="left"/>
        <w:rPr>
          <w:rFonts w:ascii="新宋体" w:hAnsi="新宋体" w:eastAsia="新宋体" w:cs="新宋体"/>
          <w:color w:val="auto"/>
          <w:kern w:val="0"/>
          <w:sz w:val="24"/>
          <w:highlight w:val="none"/>
          <w:lang w:bidi="ar"/>
        </w:rPr>
      </w:pPr>
      <w:bookmarkStart w:id="0" w:name="_Toc24379"/>
      <w:r>
        <w:rPr>
          <w:rFonts w:hint="eastAsia" w:ascii="新宋体" w:hAnsi="新宋体" w:eastAsia="新宋体" w:cs="新宋体"/>
          <w:color w:val="auto"/>
          <w:kern w:val="0"/>
          <w:sz w:val="24"/>
          <w:highlight w:val="none"/>
          <w:lang w:val="en-US" w:eastAsia="zh-CN" w:bidi="ar"/>
        </w:rPr>
        <w:t>9</w:t>
      </w:r>
      <w:r>
        <w:rPr>
          <w:rFonts w:hint="eastAsia" w:ascii="新宋体" w:hAnsi="新宋体" w:eastAsia="新宋体" w:cs="新宋体"/>
          <w:color w:val="auto"/>
          <w:kern w:val="0"/>
          <w:sz w:val="24"/>
          <w:highlight w:val="none"/>
          <w:lang w:bidi="ar"/>
        </w:rPr>
        <w:t>.被纳入失信联合惩戒名单（具体名单以递交响应文件截止时间“信用广州”公布的“失信黑名单”为准）；</w:t>
      </w:r>
      <w:bookmarkEnd w:id="0"/>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val="en-US" w:eastAsia="zh-CN" w:bidi="ar"/>
        </w:rPr>
        <w:t>0</w:t>
      </w:r>
      <w:r>
        <w:rPr>
          <w:rFonts w:hint="eastAsia" w:ascii="新宋体" w:hAnsi="新宋体" w:eastAsia="新宋体" w:cs="新宋体"/>
          <w:color w:val="auto"/>
          <w:kern w:val="0"/>
          <w:sz w:val="24"/>
          <w:highlight w:val="none"/>
          <w:lang w:bidi="ar"/>
        </w:rPr>
        <w:t>.法律法规规定的其他情形。</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三、获取</w:t>
      </w:r>
      <w:r>
        <w:rPr>
          <w:rFonts w:hint="eastAsia" w:ascii="新宋体" w:hAnsi="新宋体" w:eastAsia="新宋体" w:cs="新宋体"/>
          <w:b/>
          <w:bCs/>
          <w:color w:val="auto"/>
          <w:kern w:val="0"/>
          <w:sz w:val="24"/>
          <w:highlight w:val="none"/>
          <w:lang w:eastAsia="zh-CN" w:bidi="ar"/>
        </w:rPr>
        <w:t>采购</w:t>
      </w:r>
      <w:r>
        <w:rPr>
          <w:rFonts w:hint="eastAsia" w:ascii="新宋体" w:hAnsi="新宋体" w:eastAsia="新宋体" w:cs="新宋体"/>
          <w:b/>
          <w:bCs/>
          <w:color w:val="auto"/>
          <w:kern w:val="0"/>
          <w:sz w:val="24"/>
          <w:highlight w:val="none"/>
          <w:lang w:bidi="ar"/>
        </w:rPr>
        <w:t>文件方式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获取</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文件方式：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sz w:val="24"/>
          <w:highlight w:val="none"/>
        </w:rPr>
        <w:t>参加采购活动的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sz w:val="24"/>
          <w:highlight w:val="none"/>
        </w:rPr>
        <w:t>，可在广州市自来水工程有限公司网站（网址：</w:t>
      </w:r>
      <w:r>
        <w:rPr>
          <w:color w:val="auto"/>
          <w:highlight w:val="none"/>
        </w:rPr>
        <w:fldChar w:fldCharType="begin"/>
      </w:r>
      <w:r>
        <w:rPr>
          <w:color w:val="auto"/>
          <w:highlight w:val="none"/>
        </w:rPr>
        <w:instrText xml:space="preserve"> HYPERLINK "http://www.gzswgc.cn）下载本项目采购交易文件。" </w:instrText>
      </w:r>
      <w:r>
        <w:rPr>
          <w:color w:val="auto"/>
          <w:highlight w:val="none"/>
        </w:rPr>
        <w:fldChar w:fldCharType="separate"/>
      </w:r>
      <w:r>
        <w:rPr>
          <w:rStyle w:val="15"/>
          <w:rFonts w:hint="eastAsia" w:ascii="仿宋_GB2312" w:hAnsi="仿宋_GB2312" w:eastAsia="仿宋_GB2312" w:cs="仿宋_GB2312"/>
          <w:color w:val="auto"/>
          <w:sz w:val="24"/>
          <w:highlight w:val="none"/>
        </w:rPr>
        <w:t>http://www.gzswgc.cn</w:t>
      </w:r>
      <w:r>
        <w:rPr>
          <w:rStyle w:val="15"/>
          <w:rFonts w:hint="eastAsia" w:ascii="新宋体" w:hAnsi="新宋体" w:eastAsia="新宋体" w:cs="新宋体"/>
          <w:color w:val="auto"/>
          <w:sz w:val="24"/>
          <w:highlight w:val="none"/>
        </w:rPr>
        <w:t>）</w:t>
      </w:r>
      <w:r>
        <w:rPr>
          <w:rFonts w:hint="eastAsia" w:ascii="新宋体" w:hAnsi="新宋体" w:eastAsia="新宋体" w:cs="新宋体"/>
          <w:color w:val="auto"/>
          <w:sz w:val="24"/>
          <w:highlight w:val="none"/>
        </w:rPr>
        <w:t>下载本项目采购文件。</w:t>
      </w:r>
      <w:r>
        <w:rPr>
          <w:rFonts w:hint="eastAsia" w:ascii="新宋体" w:hAnsi="新宋体" w:eastAsia="新宋体" w:cs="新宋体"/>
          <w:color w:val="auto"/>
          <w:sz w:val="24"/>
          <w:highlight w:val="none"/>
        </w:rPr>
        <w:fldChar w:fldCharType="end"/>
      </w:r>
    </w:p>
    <w:p>
      <w:pPr>
        <w:widowControl/>
        <w:spacing w:line="400" w:lineRule="exact"/>
        <w:jc w:val="left"/>
        <w:rPr>
          <w:rFonts w:hint="eastAsia"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四、响应文件的递交地点及截止时间</w:t>
      </w:r>
    </w:p>
    <w:p>
      <w:pPr>
        <w:widowControl/>
        <w:spacing w:line="400" w:lineRule="exact"/>
        <w:ind w:firstLine="480" w:firstLineChars="200"/>
        <w:jc w:val="left"/>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eastAsia="zh-CN" w:bidi="ar"/>
        </w:rPr>
        <w:t>1、递交响应文件地址：广州市越秀区大沙头路3号</w:t>
      </w:r>
    </w:p>
    <w:p>
      <w:pPr>
        <w:widowControl/>
        <w:spacing w:line="400" w:lineRule="exact"/>
        <w:ind w:firstLine="480" w:firstLineChars="200"/>
        <w:jc w:val="left"/>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eastAsia="zh-CN" w:bidi="ar"/>
        </w:rPr>
        <w:t>2、响应文件递交的截止时间（交易截止时间，下同）为 2023 年</w:t>
      </w:r>
      <w:r>
        <w:rPr>
          <w:rFonts w:hint="eastAsia" w:ascii="新宋体" w:hAnsi="新宋体" w:eastAsia="新宋体" w:cs="新宋体"/>
          <w:color w:val="auto"/>
          <w:kern w:val="0"/>
          <w:sz w:val="24"/>
          <w:highlight w:val="none"/>
          <w:u w:val="single"/>
          <w:lang w:eastAsia="zh-CN" w:bidi="ar"/>
        </w:rPr>
        <w:t xml:space="preserve"> </w:t>
      </w:r>
      <w:r>
        <w:rPr>
          <w:rFonts w:hint="eastAsia" w:ascii="新宋体" w:hAnsi="新宋体" w:eastAsia="新宋体" w:cs="新宋体"/>
          <w:color w:val="auto"/>
          <w:kern w:val="0"/>
          <w:sz w:val="24"/>
          <w:highlight w:val="none"/>
          <w:u w:val="single"/>
          <w:lang w:val="en-US" w:eastAsia="zh-CN" w:bidi="ar"/>
        </w:rPr>
        <w:t>4</w:t>
      </w:r>
      <w:r>
        <w:rPr>
          <w:rFonts w:hint="eastAsia" w:ascii="新宋体" w:hAnsi="新宋体" w:eastAsia="新宋体" w:cs="新宋体"/>
          <w:color w:val="auto"/>
          <w:kern w:val="0"/>
          <w:sz w:val="24"/>
          <w:highlight w:val="none"/>
          <w:u w:val="single"/>
          <w:lang w:eastAsia="zh-CN" w:bidi="ar"/>
        </w:rPr>
        <w:t xml:space="preserve"> </w:t>
      </w:r>
      <w:r>
        <w:rPr>
          <w:rFonts w:hint="eastAsia" w:ascii="新宋体" w:hAnsi="新宋体" w:eastAsia="新宋体" w:cs="新宋体"/>
          <w:color w:val="auto"/>
          <w:kern w:val="0"/>
          <w:sz w:val="24"/>
          <w:highlight w:val="none"/>
          <w:lang w:eastAsia="zh-CN" w:bidi="ar"/>
        </w:rPr>
        <w:t>月</w:t>
      </w:r>
      <w:r>
        <w:rPr>
          <w:rFonts w:hint="eastAsia" w:ascii="新宋体" w:hAnsi="新宋体" w:eastAsia="新宋体" w:cs="新宋体"/>
          <w:color w:val="auto"/>
          <w:kern w:val="0"/>
          <w:sz w:val="24"/>
          <w:highlight w:val="none"/>
          <w:u w:val="single"/>
          <w:lang w:val="en-US" w:eastAsia="zh-CN" w:bidi="ar"/>
        </w:rPr>
        <w:t xml:space="preserve"> 26</w:t>
      </w:r>
      <w:r>
        <w:rPr>
          <w:rFonts w:hint="eastAsia" w:ascii="新宋体" w:hAnsi="新宋体" w:eastAsia="新宋体" w:cs="新宋体"/>
          <w:color w:val="auto"/>
          <w:kern w:val="0"/>
          <w:sz w:val="24"/>
          <w:highlight w:val="none"/>
          <w:u w:val="single"/>
          <w:lang w:eastAsia="zh-CN" w:bidi="ar"/>
        </w:rPr>
        <w:t xml:space="preserve"> </w:t>
      </w:r>
      <w:r>
        <w:rPr>
          <w:rFonts w:hint="eastAsia" w:ascii="新宋体" w:hAnsi="新宋体" w:eastAsia="新宋体" w:cs="新宋体"/>
          <w:color w:val="auto"/>
          <w:kern w:val="0"/>
          <w:sz w:val="24"/>
          <w:highlight w:val="none"/>
          <w:lang w:eastAsia="zh-CN" w:bidi="ar"/>
        </w:rPr>
        <w:t xml:space="preserve">日 </w:t>
      </w:r>
      <w:r>
        <w:rPr>
          <w:rFonts w:hint="eastAsia" w:ascii="新宋体" w:hAnsi="新宋体" w:eastAsia="新宋体" w:cs="新宋体"/>
          <w:color w:val="auto"/>
          <w:kern w:val="0"/>
          <w:sz w:val="24"/>
          <w:highlight w:val="none"/>
          <w:u w:val="single"/>
          <w:lang w:eastAsia="zh-CN" w:bidi="ar"/>
        </w:rPr>
        <w:t xml:space="preserve">10 </w:t>
      </w:r>
      <w:r>
        <w:rPr>
          <w:rFonts w:hint="eastAsia" w:ascii="新宋体" w:hAnsi="新宋体" w:eastAsia="新宋体" w:cs="新宋体"/>
          <w:color w:val="auto"/>
          <w:kern w:val="0"/>
          <w:sz w:val="24"/>
          <w:highlight w:val="none"/>
          <w:lang w:eastAsia="zh-CN" w:bidi="ar"/>
        </w:rPr>
        <w:t>时</w:t>
      </w:r>
      <w:r>
        <w:rPr>
          <w:rFonts w:hint="eastAsia" w:ascii="新宋体" w:hAnsi="新宋体" w:eastAsia="新宋体" w:cs="新宋体"/>
          <w:color w:val="auto"/>
          <w:kern w:val="0"/>
          <w:sz w:val="24"/>
          <w:highlight w:val="none"/>
          <w:u w:val="single"/>
          <w:lang w:eastAsia="zh-CN" w:bidi="ar"/>
        </w:rPr>
        <w:t>00</w:t>
      </w:r>
      <w:r>
        <w:rPr>
          <w:rFonts w:hint="eastAsia" w:ascii="新宋体" w:hAnsi="新宋体" w:eastAsia="新宋体" w:cs="新宋体"/>
          <w:color w:val="auto"/>
          <w:kern w:val="0"/>
          <w:sz w:val="24"/>
          <w:highlight w:val="none"/>
          <w:lang w:eastAsia="zh-CN" w:bidi="ar"/>
        </w:rPr>
        <w:t>分。</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3、递交的截止是否有变化，请密切留意补充公告、澄清、答疑等相关信息。</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4、逾期递交的响应文件，采购人不予受理。</w:t>
      </w:r>
    </w:p>
    <w:p>
      <w:pPr>
        <w:widowControl/>
        <w:spacing w:line="400" w:lineRule="exact"/>
        <w:jc w:val="left"/>
        <w:rPr>
          <w:rFonts w:hint="eastAsia"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eastAsia="zh-CN" w:bidi="ar"/>
        </w:rPr>
        <w:t>五</w:t>
      </w:r>
      <w:r>
        <w:rPr>
          <w:rFonts w:hint="eastAsia" w:ascii="新宋体" w:hAnsi="新宋体" w:eastAsia="新宋体" w:cs="新宋体"/>
          <w:b/>
          <w:bCs/>
          <w:color w:val="auto"/>
          <w:kern w:val="0"/>
          <w:sz w:val="24"/>
          <w:highlight w:val="none"/>
          <w:lang w:bidi="ar"/>
        </w:rPr>
        <w:t>、响应说明：</w:t>
      </w:r>
    </w:p>
    <w:p>
      <w:pPr>
        <w:adjustRightInd w:val="0"/>
        <w:snapToGrid w:val="0"/>
        <w:spacing w:line="360" w:lineRule="auto"/>
        <w:ind w:firstLine="420" w:firstLineChars="200"/>
        <w:rPr>
          <w:rFonts w:ascii="新宋体" w:hAnsi="新宋体"/>
          <w:color w:val="auto"/>
          <w:highlight w:val="none"/>
        </w:rPr>
      </w:pPr>
      <w:r>
        <w:rPr>
          <w:rFonts w:hint="eastAsia" w:ascii="新宋体" w:hAnsi="新宋体"/>
          <w:color w:val="auto"/>
          <w:kern w:val="0"/>
          <w:highlight w:val="none"/>
          <w:lang w:eastAsia="zh-CN" w:bidi="ar"/>
        </w:rPr>
        <w:t>报价人</w:t>
      </w:r>
      <w:r>
        <w:rPr>
          <w:rFonts w:hint="eastAsia" w:ascii="新宋体" w:hAnsi="新宋体"/>
          <w:color w:val="auto"/>
          <w:kern w:val="0"/>
          <w:highlight w:val="none"/>
          <w:lang w:bidi="ar"/>
        </w:rPr>
        <w:t>应按交易公告所规定的时间提交纸质版响应文件，</w:t>
      </w:r>
      <w:r>
        <w:rPr>
          <w:rFonts w:hint="eastAsia" w:ascii="新宋体" w:hAnsi="新宋体"/>
          <w:color w:val="auto"/>
          <w:highlight w:val="none"/>
        </w:rPr>
        <w:t>且必须对本项目所有采购内容进行响应，而不允许只对其中某部分内容进行响应。不允许任一</w:t>
      </w:r>
      <w:r>
        <w:rPr>
          <w:rFonts w:hint="eastAsia" w:ascii="新宋体" w:hAnsi="新宋体"/>
          <w:color w:val="auto"/>
          <w:highlight w:val="none"/>
          <w:lang w:eastAsia="zh-CN"/>
        </w:rPr>
        <w:t>报价人</w:t>
      </w:r>
      <w:r>
        <w:rPr>
          <w:rFonts w:hint="eastAsia" w:ascii="新宋体" w:hAnsi="新宋体"/>
          <w:color w:val="auto"/>
          <w:highlight w:val="none"/>
        </w:rPr>
        <w:t>对本项目提交两份或两份以上不同的响应文件。</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eastAsia="zh-CN" w:bidi="ar"/>
        </w:rPr>
        <w:t>六</w:t>
      </w:r>
      <w:r>
        <w:rPr>
          <w:rFonts w:hint="eastAsia" w:ascii="新宋体" w:hAnsi="新宋体" w:eastAsia="新宋体" w:cs="新宋体"/>
          <w:b/>
          <w:bCs/>
          <w:color w:val="auto"/>
          <w:kern w:val="0"/>
          <w:sz w:val="24"/>
          <w:highlight w:val="none"/>
          <w:lang w:bidi="ar"/>
        </w:rPr>
        <w:t>、询比评审原则</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由评审小组采用综合评分法对</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提交的响应文件和报价进行综合评分。先进行资格、符合性审查，再进行服务商务及价格的详细评审。只有通过资格、符合性评审的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才能进入下一步的详细评审。</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可同时参加一个或多个</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的竞争，但不得兼中，只能中</w:t>
      </w:r>
      <w:r>
        <w:rPr>
          <w:rFonts w:hint="eastAsia" w:ascii="新宋体" w:hAnsi="新宋体" w:eastAsia="新宋体" w:cs="新宋体"/>
          <w:color w:val="auto"/>
          <w:kern w:val="0"/>
          <w:sz w:val="24"/>
          <w:highlight w:val="none"/>
          <w:lang w:eastAsia="zh-CN" w:bidi="ar"/>
        </w:rPr>
        <w:t>选</w:t>
      </w:r>
      <w:r>
        <w:rPr>
          <w:rFonts w:hint="eastAsia" w:ascii="新宋体" w:hAnsi="新宋体" w:eastAsia="新宋体" w:cs="新宋体"/>
          <w:color w:val="auto"/>
          <w:kern w:val="0"/>
          <w:sz w:val="24"/>
          <w:highlight w:val="none"/>
          <w:lang w:bidi="ar"/>
        </w:rPr>
        <w:t>其中一个</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2、评审时</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三同时进行，但按照</w:t>
      </w:r>
      <w:r>
        <w:rPr>
          <w:rFonts w:hint="eastAsia" w:ascii="新宋体" w:hAnsi="新宋体" w:eastAsia="新宋体" w:cs="新宋体"/>
          <w:color w:val="auto"/>
          <w:kern w:val="0"/>
          <w:sz w:val="24"/>
          <w:highlight w:val="none"/>
          <w:lang w:eastAsia="zh-CN" w:bidi="ar"/>
        </w:rPr>
        <w:t>标段序号</w:t>
      </w:r>
      <w:r>
        <w:rPr>
          <w:rFonts w:hint="eastAsia" w:ascii="新宋体" w:hAnsi="新宋体" w:eastAsia="新宋体" w:cs="新宋体"/>
          <w:color w:val="auto"/>
          <w:kern w:val="0"/>
          <w:sz w:val="24"/>
          <w:highlight w:val="none"/>
          <w:lang w:bidi="ar"/>
        </w:rPr>
        <w:t>先后顺序，依次推荐各</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的中选候选人。</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3、若某一</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在先评</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成为第一中选候选人，则自动放弃后续</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的中选资格，某一</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不足三名候选人时，可按实际情况推荐一名或两名中选候选人。</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4、如果出现某</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的第一中选候选人放弃中选或因其他原因被取消中选资格的，仅在该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内按照已确定的中选候选人顺序依次上升替补定选，以此类推；若替补上来的中选候选人已成为其他标段的第一中选候选人或中选标人，则该单位不得成为该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的中选人，由该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排名其后的中选候选人上升替补定选，并以此类推；若该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所有中选候选人都不能成为中选人，则该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采购失败。</w:t>
      </w:r>
    </w:p>
    <w:p>
      <w:pPr>
        <w:widowControl/>
        <w:spacing w:line="400" w:lineRule="exact"/>
        <w:ind w:left="239" w:leftChars="114" w:firstLine="240" w:firstLineChars="1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5、如某</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通过资格、符合性审查的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不足三家，则该</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采购失败。</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6、本项目任一</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采购失败，将不影响其他</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的</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工作。</w:t>
      </w:r>
    </w:p>
    <w:p>
      <w:pPr>
        <w:widowControl/>
        <w:spacing w:line="400" w:lineRule="exact"/>
        <w:jc w:val="left"/>
        <w:rPr>
          <w:rFonts w:hint="eastAsia"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eastAsia="zh-CN" w:bidi="ar"/>
        </w:rPr>
        <w:t>七</w:t>
      </w:r>
      <w:r>
        <w:rPr>
          <w:rFonts w:hint="eastAsia" w:ascii="新宋体" w:hAnsi="新宋体" w:eastAsia="新宋体" w:cs="新宋体"/>
          <w:b/>
          <w:bCs/>
          <w:color w:val="auto"/>
          <w:kern w:val="0"/>
          <w:sz w:val="24"/>
          <w:highlight w:val="none"/>
          <w:lang w:bidi="ar"/>
        </w:rPr>
        <w:t>、发布公告的媒介：</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本公告及其修改、补充在广州市自来水工程有限公司网站（网址：http://www.gzswgc.cn）</w:t>
      </w:r>
      <w:r>
        <w:rPr>
          <w:rFonts w:hint="eastAsia" w:ascii="新宋体" w:hAnsi="新宋体" w:eastAsia="新宋体" w:cs="新宋体"/>
          <w:color w:val="auto"/>
          <w:kern w:val="0"/>
          <w:sz w:val="24"/>
          <w:highlight w:val="none"/>
          <w:lang w:eastAsia="zh-CN" w:bidi="ar"/>
        </w:rPr>
        <w:t>上发布，并同步在</w:t>
      </w:r>
      <w:r>
        <w:rPr>
          <w:rFonts w:hint="eastAsia" w:ascii="新宋体" w:hAnsi="新宋体" w:eastAsia="新宋体" w:cs="新宋体"/>
          <w:color w:val="auto"/>
          <w:kern w:val="0"/>
          <w:sz w:val="24"/>
          <w:highlight w:val="none"/>
          <w:lang w:bidi="ar"/>
        </w:rPr>
        <w:t>广州国企阳光采购服务平台门户网（http://cg.gemas.com.cn/）上发布。本公告在各媒体发布的文本如有不同之处，以在广州市自来水工程有限公司网站发布的文本为准。</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八、</w:t>
      </w:r>
      <w:r>
        <w:rPr>
          <w:rFonts w:hint="eastAsia" w:ascii="新宋体" w:hAnsi="新宋体" w:eastAsia="新宋体" w:cs="新宋体"/>
          <w:b/>
          <w:bCs/>
          <w:color w:val="auto"/>
          <w:kern w:val="0"/>
          <w:sz w:val="24"/>
          <w:highlight w:val="none"/>
          <w:lang w:eastAsia="zh-CN" w:bidi="ar"/>
        </w:rPr>
        <w:t>采购人</w:t>
      </w:r>
      <w:r>
        <w:rPr>
          <w:rFonts w:hint="eastAsia" w:ascii="新宋体" w:hAnsi="新宋体" w:eastAsia="新宋体" w:cs="新宋体"/>
          <w:b/>
          <w:bCs/>
          <w:color w:val="auto"/>
          <w:kern w:val="0"/>
          <w:sz w:val="24"/>
          <w:highlight w:val="none"/>
          <w:lang w:bidi="ar"/>
        </w:rPr>
        <w:t>的联系方式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：广州市自来水工程有限公司</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联系地址：广州市越秀区大沙头路3号</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联系人：刘工</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联系电话：83828026</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电子邮件：gzwatergcb@163.com</w:t>
      </w:r>
    </w:p>
    <w:p>
      <w:pPr>
        <w:widowControl/>
        <w:spacing w:line="400" w:lineRule="exact"/>
        <w:jc w:val="left"/>
        <w:rPr>
          <w:rFonts w:ascii="新宋体" w:hAnsi="新宋体" w:eastAsia="新宋体" w:cs="新宋体"/>
          <w:color w:val="auto"/>
          <w:kern w:val="0"/>
          <w:sz w:val="24"/>
          <w:highlight w:val="none"/>
          <w:lang w:bidi="ar"/>
        </w:rPr>
      </w:pP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color w:val="auto"/>
          <w:sz w:val="32"/>
          <w:szCs w:val="32"/>
          <w:highlight w:val="none"/>
        </w:rPr>
      </w:pPr>
      <w:r>
        <w:rPr>
          <w:rFonts w:hint="eastAsia" w:ascii="新宋体" w:hAnsi="新宋体" w:eastAsia="新宋体" w:cs="新宋体"/>
          <w:b/>
          <w:bCs/>
          <w:color w:val="auto"/>
          <w:kern w:val="0"/>
          <w:sz w:val="32"/>
          <w:szCs w:val="32"/>
          <w:highlight w:val="none"/>
          <w:lang w:bidi="ar"/>
        </w:rPr>
        <w:t>第二部分  项目内容</w:t>
      </w:r>
    </w:p>
    <w:p>
      <w:pPr>
        <w:rPr>
          <w:rFonts w:ascii="新宋体" w:hAnsi="新宋体" w:eastAsia="新宋体" w:cs="新宋体"/>
          <w:b/>
          <w:bCs/>
          <w:color w:val="auto"/>
          <w:kern w:val="0"/>
          <w:sz w:val="24"/>
          <w:highlight w:val="none"/>
          <w:lang w:bidi="ar"/>
        </w:rPr>
      </w:pPr>
    </w:p>
    <w:p>
      <w:pPr>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一、</w:t>
      </w:r>
      <w:r>
        <w:rPr>
          <w:rFonts w:hint="eastAsia" w:ascii="新宋体" w:hAnsi="新宋体" w:eastAsia="新宋体" w:cs="新宋体"/>
          <w:b/>
          <w:bCs/>
          <w:color w:val="auto"/>
          <w:kern w:val="0"/>
          <w:sz w:val="24"/>
          <w:highlight w:val="none"/>
          <w:lang w:eastAsia="zh-CN" w:bidi="ar"/>
        </w:rPr>
        <w:t>采购</w:t>
      </w:r>
      <w:r>
        <w:rPr>
          <w:rFonts w:hint="eastAsia" w:ascii="新宋体" w:hAnsi="新宋体" w:eastAsia="新宋体" w:cs="新宋体"/>
          <w:b/>
          <w:bCs/>
          <w:color w:val="auto"/>
          <w:kern w:val="0"/>
          <w:sz w:val="24"/>
          <w:highlight w:val="none"/>
          <w:lang w:bidi="ar"/>
        </w:rPr>
        <w:t>项目名称：广州市自来水工程有限公司</w:t>
      </w:r>
      <w:r>
        <w:rPr>
          <w:rFonts w:hint="eastAsia" w:ascii="新宋体" w:hAnsi="新宋体" w:eastAsia="新宋体" w:cs="新宋体"/>
          <w:b/>
          <w:bCs/>
          <w:color w:val="auto"/>
          <w:kern w:val="0"/>
          <w:sz w:val="24"/>
          <w:highlight w:val="none"/>
          <w:lang w:eastAsia="zh-CN" w:bidi="ar"/>
        </w:rPr>
        <w:t>2023～2025</w:t>
      </w:r>
      <w:r>
        <w:rPr>
          <w:rFonts w:hint="eastAsia" w:ascii="新宋体" w:hAnsi="新宋体" w:eastAsia="新宋体" w:cs="新宋体"/>
          <w:b/>
          <w:bCs/>
          <w:color w:val="auto"/>
          <w:kern w:val="0"/>
          <w:sz w:val="24"/>
          <w:highlight w:val="none"/>
          <w:lang w:bidi="ar"/>
        </w:rPr>
        <w:t>年度车辆维修保养服务采购项目</w:t>
      </w:r>
    </w:p>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二、项目概况及需求详见下表：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275"/>
        <w:gridCol w:w="2133"/>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522" w:type="dxa"/>
            <w:gridSpan w:val="5"/>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Cs w:val="21"/>
                <w:highlight w:val="none"/>
                <w:lang w:bidi="ar"/>
              </w:rPr>
              <w:t>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采购编号</w:t>
            </w:r>
          </w:p>
        </w:tc>
        <w:tc>
          <w:tcPr>
            <w:tcW w:w="6818" w:type="dxa"/>
            <w:gridSpan w:val="4"/>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Cs w:val="21"/>
                <w:highlight w:val="none"/>
                <w:lang w:bidi="ar"/>
              </w:rPr>
              <w:t>项目名称</w:t>
            </w:r>
          </w:p>
        </w:tc>
        <w:tc>
          <w:tcPr>
            <w:tcW w:w="6818" w:type="dxa"/>
            <w:gridSpan w:val="4"/>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b/>
                <w:bCs/>
                <w:color w:val="auto"/>
                <w:kern w:val="0"/>
                <w:szCs w:val="21"/>
                <w:highlight w:val="none"/>
                <w:lang w:bidi="ar"/>
              </w:rPr>
              <w:t>广州市自来水工程有限公司</w:t>
            </w:r>
            <w:r>
              <w:rPr>
                <w:rFonts w:ascii="宋体" w:hAnsi="宋体" w:eastAsia="宋体" w:cs="宋体"/>
                <w:b/>
                <w:bCs/>
                <w:color w:val="auto"/>
                <w:kern w:val="0"/>
                <w:szCs w:val="21"/>
                <w:highlight w:val="none"/>
                <w:lang w:bidi="ar"/>
              </w:rPr>
              <w:t xml:space="preserve"> </w:t>
            </w:r>
            <w:r>
              <w:rPr>
                <w:rFonts w:hint="eastAsia" w:ascii="宋体" w:hAnsi="宋体" w:eastAsia="宋体" w:cs="宋体"/>
                <w:b/>
                <w:bCs/>
                <w:color w:val="auto"/>
                <w:kern w:val="0"/>
                <w:szCs w:val="21"/>
                <w:highlight w:val="none"/>
                <w:lang w:eastAsia="zh-CN" w:bidi="ar"/>
              </w:rPr>
              <w:t>2023～2025</w:t>
            </w:r>
            <w:r>
              <w:rPr>
                <w:rFonts w:hint="eastAsia" w:ascii="宋体" w:hAnsi="宋体" w:eastAsia="宋体" w:cs="宋体"/>
                <w:b/>
                <w:bCs/>
                <w:color w:val="auto"/>
                <w:kern w:val="0"/>
                <w:szCs w:val="21"/>
                <w:highlight w:val="none"/>
                <w:lang w:bidi="ar"/>
              </w:rPr>
              <w:t>年度车辆</w:t>
            </w:r>
            <w:r>
              <w:rPr>
                <w:rFonts w:ascii="宋体" w:hAnsi="宋体" w:eastAsia="宋体" w:cs="宋体"/>
                <w:b/>
                <w:bCs/>
                <w:color w:val="auto"/>
                <w:kern w:val="0"/>
                <w:szCs w:val="21"/>
                <w:highlight w:val="none"/>
                <w:lang w:bidi="ar"/>
              </w:rPr>
              <w:t>维修保养服务采购项目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hint="eastAsia" w:eastAsiaTheme="minorEastAsia"/>
                <w:color w:val="auto"/>
                <w:highlight w:val="none"/>
                <w:lang w:eastAsia="zh-CN"/>
              </w:rPr>
            </w:pPr>
            <w:r>
              <w:rPr>
                <w:rFonts w:hint="eastAsia" w:ascii="宋体" w:hAnsi="宋体" w:eastAsia="宋体" w:cs="宋体"/>
                <w:color w:val="auto"/>
                <w:kern w:val="0"/>
                <w:szCs w:val="21"/>
                <w:highlight w:val="none"/>
                <w:lang w:eastAsia="zh-CN" w:bidi="ar"/>
              </w:rPr>
              <w:t>报价人</w:t>
            </w:r>
          </w:p>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资质要求</w:t>
            </w:r>
          </w:p>
        </w:tc>
        <w:tc>
          <w:tcPr>
            <w:tcW w:w="6818" w:type="dxa"/>
            <w:gridSpan w:val="4"/>
            <w:vAlign w:val="center"/>
          </w:tcPr>
          <w:p>
            <w:pPr>
              <w:widowControl/>
              <w:ind w:firstLine="210" w:firstLineChars="100"/>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1.中华人民共和国境内注册的独立法人，持有工商行政管理部门核发的营业执照。</w:t>
            </w:r>
          </w:p>
          <w:p>
            <w:pPr>
              <w:widowControl/>
              <w:ind w:firstLine="210" w:firstLineChars="100"/>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2.根据《广州市交通运输局转发交通运输部办公厅关于贯彻落实〈机动车维修管理规定〉的通知》（穗交运函﹝2019﹞2379 号）的要求，</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须提供完成属地交管部门签章的《机动车维修经营备案表》或有效期内的原道路运输经营许可证。且</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 xml:space="preserve">具备二类或以上汽车维修资质。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Merge w:val="restart"/>
            <w:vAlign w:val="center"/>
          </w:tcPr>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采购单位</w:t>
            </w:r>
          </w:p>
        </w:tc>
        <w:tc>
          <w:tcPr>
            <w:tcW w:w="1275" w:type="dxa"/>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 xml:space="preserve">公司 </w:t>
            </w:r>
          </w:p>
        </w:tc>
        <w:tc>
          <w:tcPr>
            <w:tcW w:w="5543" w:type="dxa"/>
            <w:gridSpan w:val="3"/>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 xml:space="preserve">广州市自来水工程有限公司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Merge w:val="continue"/>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1275" w:type="dxa"/>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 xml:space="preserve">地址 </w:t>
            </w:r>
          </w:p>
        </w:tc>
        <w:tc>
          <w:tcPr>
            <w:tcW w:w="5543" w:type="dxa"/>
            <w:gridSpan w:val="3"/>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广州市越秀区大沙头路3号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Merge w:val="continue"/>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1275" w:type="dxa"/>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联系人</w:t>
            </w:r>
          </w:p>
        </w:tc>
        <w:tc>
          <w:tcPr>
            <w:tcW w:w="2133" w:type="dxa"/>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刘工</w:t>
            </w:r>
          </w:p>
        </w:tc>
        <w:tc>
          <w:tcPr>
            <w:tcW w:w="1705" w:type="dxa"/>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 xml:space="preserve">联系电话 </w:t>
            </w:r>
          </w:p>
        </w:tc>
        <w:tc>
          <w:tcPr>
            <w:tcW w:w="1705" w:type="dxa"/>
            <w:vAlign w:val="center"/>
          </w:tcPr>
          <w:p>
            <w:pPr>
              <w:widowControl/>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83828026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项目内容</w:t>
            </w:r>
          </w:p>
        </w:tc>
        <w:tc>
          <w:tcPr>
            <w:tcW w:w="6818" w:type="dxa"/>
            <w:gridSpan w:val="4"/>
            <w:vAlign w:val="center"/>
          </w:tcPr>
          <w:p>
            <w:pPr>
              <w:widowControl/>
              <w:jc w:val="left"/>
              <w:rPr>
                <w:color w:val="auto"/>
                <w:highlight w:val="none"/>
              </w:rPr>
            </w:pPr>
            <w:r>
              <w:rPr>
                <w:rFonts w:hint="eastAsia" w:ascii="宋体" w:hAnsi="宋体" w:eastAsia="宋体" w:cs="宋体"/>
                <w:color w:val="auto"/>
                <w:kern w:val="0"/>
                <w:szCs w:val="21"/>
                <w:highlight w:val="none"/>
                <w:lang w:bidi="ar"/>
              </w:rPr>
              <w:t xml:space="preserve">主要项目内容： </w:t>
            </w:r>
          </w:p>
          <w:p>
            <w:pPr>
              <w:widowControl/>
              <w:ind w:firstLine="210" w:firstLineChars="100"/>
              <w:jc w:val="left"/>
              <w:rPr>
                <w:color w:val="auto"/>
                <w:highlight w:val="none"/>
              </w:rPr>
            </w:pPr>
            <w:r>
              <w:rPr>
                <w:rFonts w:ascii="宋体" w:hAnsi="宋体" w:eastAsia="宋体" w:cs="宋体"/>
                <w:color w:val="auto"/>
                <w:kern w:val="0"/>
                <w:szCs w:val="21"/>
                <w:highlight w:val="none"/>
                <w:lang w:bidi="ar"/>
              </w:rPr>
              <w:t>本</w:t>
            </w:r>
            <w:r>
              <w:rPr>
                <w:rFonts w:hint="eastAsia" w:ascii="宋体" w:hAnsi="宋体" w:eastAsia="宋体" w:cs="宋体"/>
                <w:color w:val="auto"/>
                <w:kern w:val="0"/>
                <w:szCs w:val="21"/>
                <w:highlight w:val="none"/>
                <w:lang w:eastAsia="zh-CN" w:bidi="ar"/>
              </w:rPr>
              <w:t>采购</w:t>
            </w:r>
            <w:r>
              <w:rPr>
                <w:rFonts w:ascii="宋体" w:hAnsi="宋体" w:eastAsia="宋体" w:cs="宋体"/>
                <w:color w:val="auto"/>
                <w:kern w:val="0"/>
                <w:szCs w:val="21"/>
                <w:highlight w:val="none"/>
                <w:lang w:bidi="ar"/>
              </w:rPr>
              <w:t>项目</w:t>
            </w:r>
            <w:r>
              <w:rPr>
                <w:rFonts w:hint="eastAsia" w:ascii="宋体" w:hAnsi="宋体" w:eastAsia="宋体" w:cs="宋体"/>
                <w:color w:val="auto"/>
                <w:kern w:val="0"/>
                <w:szCs w:val="21"/>
                <w:highlight w:val="none"/>
                <w:lang w:eastAsia="zh-CN" w:bidi="ar"/>
              </w:rPr>
              <w:t>评审选定维保服务</w:t>
            </w:r>
            <w:r>
              <w:rPr>
                <w:rFonts w:ascii="宋体" w:hAnsi="宋体" w:eastAsia="宋体" w:cs="宋体"/>
                <w:color w:val="auto"/>
                <w:kern w:val="0"/>
                <w:szCs w:val="21"/>
                <w:highlight w:val="none"/>
                <w:lang w:bidi="ar"/>
              </w:rPr>
              <w:t>，为</w:t>
            </w:r>
            <w:r>
              <w:rPr>
                <w:rFonts w:hint="eastAsia" w:ascii="宋体" w:hAnsi="宋体" w:eastAsia="宋体" w:cs="宋体"/>
                <w:color w:val="auto"/>
                <w:kern w:val="0"/>
                <w:szCs w:val="21"/>
                <w:highlight w:val="none"/>
                <w:lang w:bidi="ar"/>
              </w:rPr>
              <w:t>广州市自来水工程有限公司</w:t>
            </w:r>
            <w:r>
              <w:rPr>
                <w:rFonts w:ascii="宋体" w:hAnsi="宋体" w:eastAsia="宋体" w:cs="宋体"/>
                <w:color w:val="auto"/>
                <w:kern w:val="0"/>
                <w:szCs w:val="21"/>
                <w:highlight w:val="none"/>
                <w:lang w:bidi="ar"/>
              </w:rPr>
              <w:t xml:space="preserve">的 </w:t>
            </w:r>
            <w:r>
              <w:rPr>
                <w:rFonts w:hint="eastAsia" w:ascii="宋体" w:hAnsi="宋体" w:eastAsia="宋体" w:cs="宋体"/>
                <w:color w:val="auto"/>
                <w:kern w:val="0"/>
                <w:szCs w:val="21"/>
                <w:highlight w:val="none"/>
                <w:lang w:val="en-US" w:eastAsia="zh-CN" w:bidi="ar"/>
              </w:rPr>
              <w:t>156</w:t>
            </w:r>
            <w:r>
              <w:rPr>
                <w:rFonts w:ascii="宋体" w:hAnsi="宋体" w:eastAsia="宋体" w:cs="宋体"/>
                <w:color w:val="auto"/>
                <w:kern w:val="0"/>
                <w:szCs w:val="21"/>
                <w:highlight w:val="none"/>
                <w:lang w:bidi="ar"/>
              </w:rPr>
              <w:t>余台生产车辆整车</w:t>
            </w:r>
            <w:r>
              <w:rPr>
                <w:rFonts w:hint="eastAsia" w:ascii="宋体" w:hAnsi="宋体" w:eastAsia="宋体" w:cs="宋体"/>
                <w:color w:val="auto"/>
                <w:kern w:val="0"/>
                <w:szCs w:val="21"/>
                <w:highlight w:val="none"/>
                <w:lang w:bidi="ar"/>
              </w:rPr>
              <w:t>（非专项作业车）</w:t>
            </w:r>
            <w:r>
              <w:rPr>
                <w:rFonts w:ascii="宋体" w:hAnsi="宋体" w:eastAsia="宋体" w:cs="宋体"/>
                <w:color w:val="auto"/>
                <w:kern w:val="0"/>
                <w:szCs w:val="21"/>
                <w:highlight w:val="none"/>
                <w:lang w:bidi="ar"/>
              </w:rPr>
              <w:t xml:space="preserve">提供维修/保养服务，包括一级维护、二级维护、车辆大修、总成修理、车辆小修和车辆专项修理，二十四小时拖车服务、代办车辆年审服务、 交通事故车辆维修服务和其他有关的汽车维修服务项目等。 </w:t>
            </w:r>
          </w:p>
          <w:p>
            <w:pPr>
              <w:widowControl/>
              <w:ind w:firstLine="210" w:firstLineChars="100"/>
              <w:jc w:val="left"/>
              <w:rPr>
                <w:rFonts w:ascii="宋体" w:hAnsi="宋体" w:eastAsia="宋体" w:cs="宋体"/>
                <w:color w:val="auto"/>
                <w:kern w:val="0"/>
                <w:szCs w:val="21"/>
                <w:highlight w:val="none"/>
                <w:lang w:bidi="ar"/>
              </w:rPr>
            </w:pPr>
            <w:r>
              <w:rPr>
                <w:rFonts w:ascii="宋体" w:hAnsi="宋体" w:eastAsia="宋体" w:cs="宋体"/>
                <w:color w:val="auto"/>
                <w:kern w:val="0"/>
                <w:szCs w:val="21"/>
                <w:highlight w:val="none"/>
                <w:lang w:bidi="ar"/>
              </w:rPr>
              <w:t>本项目按</w:t>
            </w:r>
            <w:r>
              <w:rPr>
                <w:rFonts w:hint="eastAsia" w:ascii="宋体" w:hAnsi="宋体" w:eastAsia="宋体" w:cs="宋体"/>
                <w:color w:val="auto"/>
                <w:kern w:val="0"/>
                <w:szCs w:val="21"/>
                <w:highlight w:val="none"/>
                <w:lang w:bidi="ar"/>
              </w:rPr>
              <w:t>广州市自来水工程有限公司生产车辆停放及作业区域分为3个</w:t>
            </w:r>
            <w:r>
              <w:rPr>
                <w:rFonts w:hint="eastAsia" w:ascii="宋体" w:hAnsi="宋体" w:eastAsia="宋体" w:cs="宋体"/>
                <w:color w:val="auto"/>
                <w:kern w:val="0"/>
                <w:szCs w:val="21"/>
                <w:highlight w:val="none"/>
                <w:lang w:eastAsia="zh-CN" w:bidi="ar"/>
              </w:rPr>
              <w:t>标段</w:t>
            </w:r>
            <w:r>
              <w:rPr>
                <w:rFonts w:hint="eastAsia" w:ascii="宋体" w:hAnsi="宋体" w:eastAsia="宋体" w:cs="宋体"/>
                <w:color w:val="auto"/>
                <w:kern w:val="0"/>
                <w:szCs w:val="21"/>
                <w:highlight w:val="none"/>
                <w:lang w:bidi="ar"/>
              </w:rPr>
              <w:t xml:space="preserve">。 </w:t>
            </w:r>
          </w:p>
          <w:p>
            <w:pPr>
              <w:widowControl/>
              <w:ind w:firstLine="422" w:firstLineChars="200"/>
              <w:jc w:val="left"/>
              <w:rPr>
                <w:rFonts w:ascii="宋体" w:hAnsi="宋体" w:eastAsia="宋体" w:cs="宋体"/>
                <w:b/>
                <w:bCs/>
                <w:color w:val="auto"/>
                <w:kern w:val="0"/>
                <w:szCs w:val="21"/>
                <w:highlight w:val="none"/>
                <w:lang w:bidi="ar"/>
              </w:rPr>
            </w:pPr>
          </w:p>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详见第五部分采购需求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项目地点</w:t>
            </w:r>
          </w:p>
        </w:tc>
        <w:tc>
          <w:tcPr>
            <w:tcW w:w="6818" w:type="dxa"/>
            <w:gridSpan w:val="4"/>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广州市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服务资格期限</w:t>
            </w:r>
          </w:p>
        </w:tc>
        <w:tc>
          <w:tcPr>
            <w:tcW w:w="6818" w:type="dxa"/>
            <w:gridSpan w:val="4"/>
            <w:vAlign w:val="center"/>
          </w:tcPr>
          <w:p>
            <w:pPr>
              <w:widowControl/>
              <w:ind w:firstLine="210" w:firstLineChars="100"/>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服务期限为二年，合同一年一签，合同一年期满后，根据</w:t>
            </w:r>
            <w:r>
              <w:rPr>
                <w:rFonts w:hint="eastAsia" w:ascii="宋体" w:hAnsi="宋体" w:eastAsia="宋体" w:cs="宋体"/>
                <w:color w:val="auto"/>
                <w:kern w:val="0"/>
                <w:szCs w:val="21"/>
                <w:highlight w:val="none"/>
                <w:lang w:eastAsia="zh-CN" w:bidi="ar"/>
              </w:rPr>
              <w:t>中选维保单位</w:t>
            </w:r>
            <w:r>
              <w:rPr>
                <w:rFonts w:hint="eastAsia" w:ascii="宋体" w:hAnsi="宋体" w:eastAsia="宋体" w:cs="宋体"/>
                <w:color w:val="auto"/>
                <w:kern w:val="0"/>
                <w:szCs w:val="21"/>
                <w:highlight w:val="none"/>
                <w:lang w:bidi="ar"/>
              </w:rPr>
              <w:t>的服务质量，</w:t>
            </w:r>
            <w:r>
              <w:rPr>
                <w:rFonts w:hint="eastAsia" w:ascii="宋体" w:hAnsi="宋体" w:eastAsia="宋体" w:cs="宋体"/>
                <w:color w:val="auto"/>
                <w:kern w:val="0"/>
                <w:szCs w:val="21"/>
                <w:highlight w:val="none"/>
                <w:lang w:eastAsia="zh-CN" w:bidi="ar"/>
              </w:rPr>
              <w:t>采购人</w:t>
            </w:r>
            <w:r>
              <w:rPr>
                <w:rFonts w:hint="eastAsia" w:ascii="宋体" w:hAnsi="宋体" w:eastAsia="宋体" w:cs="宋体"/>
                <w:color w:val="auto"/>
                <w:kern w:val="0"/>
                <w:szCs w:val="21"/>
                <w:highlight w:val="none"/>
                <w:lang w:bidi="ar"/>
              </w:rPr>
              <w:t>有权决定是否续签第二年合同；如不续签，则采用其他规定的方式选出新的</w:t>
            </w:r>
            <w:r>
              <w:rPr>
                <w:rFonts w:hint="eastAsia" w:ascii="宋体" w:hAnsi="宋体" w:eastAsia="宋体" w:cs="宋体"/>
                <w:color w:val="auto"/>
                <w:kern w:val="0"/>
                <w:szCs w:val="21"/>
                <w:highlight w:val="none"/>
                <w:lang w:eastAsia="zh-CN" w:bidi="ar"/>
              </w:rPr>
              <w:t>维保</w:t>
            </w:r>
            <w:r>
              <w:rPr>
                <w:rFonts w:hint="eastAsia" w:ascii="宋体" w:hAnsi="宋体" w:eastAsia="宋体" w:cs="宋体"/>
                <w:color w:val="auto"/>
                <w:kern w:val="0"/>
                <w:szCs w:val="21"/>
                <w:highlight w:val="none"/>
                <w:lang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color w:val="auto"/>
                <w:highlight w:val="none"/>
              </w:rPr>
            </w:pPr>
            <w:r>
              <w:rPr>
                <w:rFonts w:hint="eastAsia" w:ascii="宋体" w:hAnsi="宋体" w:eastAsia="宋体" w:cs="宋体"/>
                <w:color w:val="auto"/>
                <w:kern w:val="0"/>
                <w:szCs w:val="21"/>
                <w:highlight w:val="none"/>
                <w:lang w:bidi="ar"/>
              </w:rPr>
              <w:t>材料及设备</w:t>
            </w:r>
          </w:p>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供应</w:t>
            </w:r>
          </w:p>
        </w:tc>
        <w:tc>
          <w:tcPr>
            <w:tcW w:w="6818" w:type="dxa"/>
            <w:gridSpan w:val="4"/>
            <w:vAlign w:val="center"/>
          </w:tcPr>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项目所需的材料及设备供应均由</w:t>
            </w:r>
            <w:r>
              <w:rPr>
                <w:rFonts w:hint="eastAsia" w:ascii="宋体" w:hAnsi="宋体" w:eastAsia="宋体" w:cs="宋体"/>
                <w:color w:val="auto"/>
                <w:kern w:val="0"/>
                <w:szCs w:val="21"/>
                <w:highlight w:val="none"/>
                <w:lang w:eastAsia="zh-CN" w:bidi="ar"/>
              </w:rPr>
              <w:t>维保单位</w:t>
            </w:r>
            <w:r>
              <w:rPr>
                <w:rFonts w:hint="eastAsia" w:ascii="宋体" w:hAnsi="宋体" w:eastAsia="宋体" w:cs="宋体"/>
                <w:color w:val="auto"/>
                <w:kern w:val="0"/>
                <w:szCs w:val="21"/>
                <w:highlight w:val="none"/>
                <w:lang w:bidi="ar"/>
              </w:rPr>
              <w:t xml:space="preserve">负责提供。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color w:val="auto"/>
                <w:highlight w:val="none"/>
              </w:rPr>
            </w:pPr>
            <w:r>
              <w:rPr>
                <w:rFonts w:hint="eastAsia" w:ascii="宋体" w:hAnsi="宋体" w:eastAsia="宋体" w:cs="宋体"/>
                <w:color w:val="auto"/>
                <w:kern w:val="0"/>
                <w:szCs w:val="21"/>
                <w:highlight w:val="none"/>
                <w:lang w:bidi="ar"/>
              </w:rPr>
              <w:t>承包方式及</w:t>
            </w:r>
          </w:p>
          <w:p>
            <w:pPr>
              <w:widowControl/>
              <w:jc w:val="center"/>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结算方式</w:t>
            </w:r>
          </w:p>
        </w:tc>
        <w:tc>
          <w:tcPr>
            <w:tcW w:w="6818" w:type="dxa"/>
            <w:gridSpan w:val="4"/>
            <w:vAlign w:val="center"/>
          </w:tcPr>
          <w:p>
            <w:pPr>
              <w:widowControl/>
              <w:jc w:val="left"/>
              <w:rPr>
                <w:color w:val="auto"/>
                <w:highlight w:val="none"/>
              </w:rPr>
            </w:pPr>
            <w:r>
              <w:rPr>
                <w:rFonts w:hint="eastAsia" w:ascii="宋体" w:hAnsi="宋体" w:eastAsia="宋体" w:cs="宋体"/>
                <w:color w:val="auto"/>
                <w:kern w:val="0"/>
                <w:szCs w:val="21"/>
                <w:highlight w:val="none"/>
                <w:lang w:bidi="ar"/>
              </w:rPr>
              <w:t xml:space="preserve">包工、包料、包工期、包质量、包安全、包文明，按实结算。 </w:t>
            </w:r>
          </w:p>
          <w:p>
            <w:pPr>
              <w:widowControl/>
              <w:ind w:left="210" w:leftChars="100"/>
              <w:jc w:val="left"/>
              <w:rPr>
                <w:rFonts w:ascii="宋体" w:hAnsi="宋体" w:eastAsia="宋体" w:cs="宋体"/>
                <w:color w:val="auto"/>
                <w:kern w:val="0"/>
                <w:szCs w:val="21"/>
                <w:highlight w:val="none"/>
                <w:lang w:bidi="ar"/>
              </w:rPr>
            </w:pPr>
          </w:p>
          <w:p>
            <w:pPr>
              <w:widowControl/>
              <w:ind w:left="210" w:leftChars="100"/>
              <w:jc w:val="left"/>
              <w:rPr>
                <w:color w:val="auto"/>
                <w:highlight w:val="none"/>
              </w:rPr>
            </w:pPr>
            <w:r>
              <w:rPr>
                <w:rFonts w:hint="eastAsia" w:ascii="宋体" w:hAnsi="宋体" w:eastAsia="宋体" w:cs="宋体"/>
                <w:color w:val="auto"/>
                <w:kern w:val="0"/>
                <w:szCs w:val="21"/>
                <w:highlight w:val="none"/>
                <w:lang w:bidi="ar"/>
              </w:rPr>
              <w:t>本项目采用按中选</w:t>
            </w:r>
            <w:r>
              <w:rPr>
                <w:rFonts w:hint="eastAsia" w:ascii="宋体" w:hAnsi="宋体" w:eastAsia="宋体" w:cs="宋体"/>
                <w:color w:val="auto"/>
                <w:kern w:val="0"/>
                <w:szCs w:val="21"/>
                <w:highlight w:val="none"/>
                <w:lang w:eastAsia="zh-CN" w:bidi="ar"/>
              </w:rPr>
              <w:t>维保单位的报价</w:t>
            </w:r>
            <w:r>
              <w:rPr>
                <w:rFonts w:hint="eastAsia" w:ascii="宋体" w:hAnsi="宋体" w:eastAsia="宋体" w:cs="宋体"/>
                <w:color w:val="auto"/>
                <w:kern w:val="0"/>
                <w:szCs w:val="21"/>
                <w:highlight w:val="none"/>
                <w:lang w:bidi="ar"/>
              </w:rPr>
              <w:t xml:space="preserve">费率结算方式，采取清单计价的模式。 </w:t>
            </w:r>
          </w:p>
          <w:p>
            <w:pPr>
              <w:widowControl/>
              <w:ind w:left="210" w:leftChars="100"/>
              <w:jc w:val="left"/>
              <w:rPr>
                <w:color w:val="auto"/>
                <w:highlight w:val="none"/>
              </w:rPr>
            </w:pPr>
          </w:p>
          <w:p>
            <w:pPr>
              <w:widowControl/>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具体结算方式详见 第六部分合同书格式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704" w:type="dxa"/>
            <w:vAlign w:val="center"/>
          </w:tcPr>
          <w:p>
            <w:pPr>
              <w:widowControl/>
              <w:jc w:val="center"/>
              <w:rPr>
                <w:rFonts w:ascii="新宋体" w:hAnsi="新宋体" w:eastAsia="宋体" w:cs="新宋体"/>
                <w:b/>
                <w:bCs/>
                <w:color w:val="auto"/>
                <w:kern w:val="0"/>
                <w:sz w:val="24"/>
                <w:highlight w:val="none"/>
                <w:lang w:bidi="ar"/>
              </w:rPr>
            </w:pPr>
            <w:r>
              <w:rPr>
                <w:rFonts w:hint="eastAsia" w:ascii="宋体" w:hAnsi="宋体" w:eastAsia="宋体" w:cs="宋体"/>
                <w:color w:val="auto"/>
                <w:kern w:val="0"/>
                <w:szCs w:val="21"/>
                <w:highlight w:val="none"/>
                <w:lang w:bidi="ar"/>
              </w:rPr>
              <w:t>预算金额</w:t>
            </w:r>
          </w:p>
        </w:tc>
        <w:tc>
          <w:tcPr>
            <w:tcW w:w="6818" w:type="dxa"/>
            <w:gridSpan w:val="4"/>
            <w:vAlign w:val="center"/>
          </w:tcPr>
          <w:p>
            <w:pPr>
              <w:widowControl/>
              <w:jc w:val="left"/>
              <w:rPr>
                <w:rFonts w:ascii="新宋体" w:hAnsi="新宋体" w:eastAsia="新宋体" w:cs="新宋体"/>
                <w:b/>
                <w:bCs/>
                <w:color w:val="auto"/>
                <w:kern w:val="0"/>
                <w:sz w:val="24"/>
                <w:highlight w:val="none"/>
                <w:lang w:bidi="ar"/>
              </w:rPr>
            </w:pPr>
            <w:r>
              <w:rPr>
                <w:rFonts w:hint="eastAsia" w:ascii="新宋体" w:hAnsi="新宋体" w:eastAsia="新宋体" w:cs="新宋体"/>
                <w:b w:val="0"/>
                <w:bCs w:val="0"/>
                <w:color w:val="auto"/>
                <w:kern w:val="0"/>
                <w:sz w:val="24"/>
                <w:highlight w:val="none"/>
                <w:lang w:bidi="ar"/>
              </w:rPr>
              <w:t>总预算：￥140</w:t>
            </w:r>
            <w:r>
              <w:rPr>
                <w:rFonts w:hint="eastAsia" w:ascii="新宋体" w:hAnsi="新宋体" w:eastAsia="新宋体" w:cs="新宋体"/>
                <w:b w:val="0"/>
                <w:bCs w:val="0"/>
                <w:color w:val="auto"/>
                <w:kern w:val="0"/>
                <w:sz w:val="24"/>
                <w:highlight w:val="none"/>
                <w:lang w:eastAsia="zh-CN" w:bidi="ar"/>
              </w:rPr>
              <w:t>万</w:t>
            </w:r>
            <w:r>
              <w:rPr>
                <w:rFonts w:hint="eastAsia" w:ascii="新宋体" w:hAnsi="新宋体" w:eastAsia="新宋体" w:cs="新宋体"/>
                <w:b w:val="0"/>
                <w:bCs w:val="0"/>
                <w:color w:val="auto"/>
                <w:kern w:val="0"/>
                <w:sz w:val="24"/>
                <w:highlight w:val="none"/>
                <w:lang w:bidi="ar"/>
              </w:rPr>
              <w:t>元/年，其中</w:t>
            </w:r>
            <w:r>
              <w:rPr>
                <w:rFonts w:hint="eastAsia" w:ascii="新宋体" w:hAnsi="新宋体" w:eastAsia="新宋体" w:cs="新宋体"/>
                <w:b w:val="0"/>
                <w:bCs w:val="0"/>
                <w:color w:val="auto"/>
                <w:kern w:val="0"/>
                <w:sz w:val="24"/>
                <w:highlight w:val="none"/>
                <w:lang w:eastAsia="zh-CN" w:bidi="ar"/>
              </w:rPr>
              <w:t>标段</w:t>
            </w:r>
            <w:r>
              <w:rPr>
                <w:rFonts w:hint="eastAsia" w:ascii="新宋体" w:hAnsi="新宋体" w:eastAsia="新宋体" w:cs="新宋体"/>
                <w:b w:val="0"/>
                <w:bCs w:val="0"/>
                <w:color w:val="auto"/>
                <w:kern w:val="0"/>
                <w:sz w:val="24"/>
                <w:highlight w:val="none"/>
                <w:lang w:bidi="ar"/>
              </w:rPr>
              <w:t>一的预算为￥55</w:t>
            </w:r>
            <w:r>
              <w:rPr>
                <w:rFonts w:hint="eastAsia" w:ascii="新宋体" w:hAnsi="新宋体" w:eastAsia="新宋体" w:cs="新宋体"/>
                <w:b w:val="0"/>
                <w:bCs w:val="0"/>
                <w:color w:val="auto"/>
                <w:kern w:val="0"/>
                <w:sz w:val="24"/>
                <w:highlight w:val="none"/>
                <w:lang w:eastAsia="zh-CN" w:bidi="ar"/>
              </w:rPr>
              <w:t>万</w:t>
            </w:r>
            <w:r>
              <w:rPr>
                <w:rFonts w:hint="eastAsia" w:ascii="新宋体" w:hAnsi="新宋体" w:eastAsia="新宋体" w:cs="新宋体"/>
                <w:b w:val="0"/>
                <w:bCs w:val="0"/>
                <w:color w:val="auto"/>
                <w:kern w:val="0"/>
                <w:sz w:val="24"/>
                <w:highlight w:val="none"/>
                <w:lang w:bidi="ar"/>
              </w:rPr>
              <w:t>元/年，</w:t>
            </w:r>
            <w:r>
              <w:rPr>
                <w:rFonts w:hint="eastAsia" w:ascii="新宋体" w:hAnsi="新宋体" w:eastAsia="新宋体" w:cs="新宋体"/>
                <w:b w:val="0"/>
                <w:bCs w:val="0"/>
                <w:color w:val="auto"/>
                <w:kern w:val="0"/>
                <w:sz w:val="24"/>
                <w:highlight w:val="none"/>
                <w:lang w:eastAsia="zh-CN" w:bidi="ar"/>
              </w:rPr>
              <w:t>标段</w:t>
            </w:r>
            <w:r>
              <w:rPr>
                <w:rFonts w:hint="eastAsia" w:ascii="新宋体" w:hAnsi="新宋体" w:eastAsia="新宋体" w:cs="新宋体"/>
                <w:b w:val="0"/>
                <w:bCs w:val="0"/>
                <w:color w:val="auto"/>
                <w:kern w:val="0"/>
                <w:sz w:val="24"/>
                <w:highlight w:val="none"/>
                <w:lang w:bidi="ar"/>
              </w:rPr>
              <w:t>二的预算为￥50</w:t>
            </w:r>
            <w:r>
              <w:rPr>
                <w:rFonts w:hint="eastAsia" w:ascii="新宋体" w:hAnsi="新宋体" w:eastAsia="新宋体" w:cs="新宋体"/>
                <w:b w:val="0"/>
                <w:bCs w:val="0"/>
                <w:color w:val="auto"/>
                <w:kern w:val="0"/>
                <w:sz w:val="24"/>
                <w:highlight w:val="none"/>
                <w:lang w:eastAsia="zh-CN" w:bidi="ar"/>
              </w:rPr>
              <w:t>万</w:t>
            </w:r>
            <w:r>
              <w:rPr>
                <w:rFonts w:hint="eastAsia" w:ascii="新宋体" w:hAnsi="新宋体" w:eastAsia="新宋体" w:cs="新宋体"/>
                <w:b w:val="0"/>
                <w:bCs w:val="0"/>
                <w:color w:val="auto"/>
                <w:kern w:val="0"/>
                <w:sz w:val="24"/>
                <w:highlight w:val="none"/>
                <w:lang w:bidi="ar"/>
              </w:rPr>
              <w:t>元/年，</w:t>
            </w:r>
            <w:r>
              <w:rPr>
                <w:rFonts w:hint="eastAsia" w:ascii="新宋体" w:hAnsi="新宋体" w:eastAsia="新宋体" w:cs="新宋体"/>
                <w:b w:val="0"/>
                <w:bCs w:val="0"/>
                <w:color w:val="auto"/>
                <w:kern w:val="0"/>
                <w:sz w:val="24"/>
                <w:highlight w:val="none"/>
                <w:lang w:eastAsia="zh-CN" w:bidi="ar"/>
              </w:rPr>
              <w:t>标段</w:t>
            </w:r>
            <w:r>
              <w:rPr>
                <w:rFonts w:hint="eastAsia" w:ascii="新宋体" w:hAnsi="新宋体" w:eastAsia="新宋体" w:cs="新宋体"/>
                <w:b w:val="0"/>
                <w:bCs w:val="0"/>
                <w:color w:val="auto"/>
                <w:kern w:val="0"/>
                <w:sz w:val="24"/>
                <w:highlight w:val="none"/>
                <w:lang w:bidi="ar"/>
              </w:rPr>
              <w:t>三的预算为￥35</w:t>
            </w:r>
            <w:r>
              <w:rPr>
                <w:rFonts w:hint="eastAsia" w:ascii="新宋体" w:hAnsi="新宋体" w:eastAsia="新宋体" w:cs="新宋体"/>
                <w:b w:val="0"/>
                <w:bCs w:val="0"/>
                <w:color w:val="auto"/>
                <w:kern w:val="0"/>
                <w:sz w:val="24"/>
                <w:highlight w:val="none"/>
                <w:lang w:eastAsia="zh-CN" w:bidi="ar"/>
              </w:rPr>
              <w:t>万</w:t>
            </w:r>
            <w:r>
              <w:rPr>
                <w:rFonts w:hint="eastAsia" w:ascii="新宋体" w:hAnsi="新宋体" w:eastAsia="新宋体" w:cs="新宋体"/>
                <w:b w:val="0"/>
                <w:bCs w:val="0"/>
                <w:color w:val="auto"/>
                <w:kern w:val="0"/>
                <w:sz w:val="24"/>
                <w:highlight w:val="none"/>
                <w:lang w:bidi="ar"/>
              </w:rPr>
              <w:t>元/年。</w:t>
            </w:r>
            <w:r>
              <w:rPr>
                <w:rFonts w:hint="eastAsia" w:ascii="宋体" w:hAnsi="宋体" w:eastAsia="宋体" w:cs="宋体"/>
                <w:b w:val="0"/>
                <w:bCs w:val="0"/>
                <w:i/>
                <w:iCs/>
                <w:color w:val="auto"/>
                <w:kern w:val="0"/>
                <w:sz w:val="24"/>
                <w:highlight w:val="none"/>
                <w:u w:val="none"/>
                <w:lang w:bidi="ar"/>
              </w:rPr>
              <w:t>（*预算金额是根据</w:t>
            </w:r>
            <w:r>
              <w:rPr>
                <w:rFonts w:hint="eastAsia" w:ascii="宋体" w:hAnsi="宋体" w:eastAsia="宋体" w:cs="宋体"/>
                <w:b w:val="0"/>
                <w:bCs w:val="0"/>
                <w:i/>
                <w:iCs/>
                <w:color w:val="auto"/>
                <w:kern w:val="0"/>
                <w:sz w:val="24"/>
                <w:highlight w:val="none"/>
                <w:u w:val="none"/>
                <w:lang w:eastAsia="zh-CN" w:bidi="ar"/>
              </w:rPr>
              <w:t>近三</w:t>
            </w:r>
            <w:r>
              <w:rPr>
                <w:rFonts w:hint="eastAsia" w:ascii="宋体" w:hAnsi="宋体" w:eastAsia="宋体" w:cs="宋体"/>
                <w:b w:val="0"/>
                <w:bCs w:val="0"/>
                <w:i/>
                <w:iCs/>
                <w:color w:val="auto"/>
                <w:kern w:val="0"/>
                <w:sz w:val="24"/>
                <w:highlight w:val="none"/>
                <w:u w:val="none"/>
                <w:lang w:bidi="ar"/>
              </w:rPr>
              <w:t>年实际发生的维修保养费用统计后的估算，不作为合同终止的条件）</w:t>
            </w:r>
            <w:r>
              <w:rPr>
                <w:rFonts w:hint="eastAsia" w:ascii="宋体" w:hAnsi="宋体" w:eastAsia="宋体" w:cs="宋体"/>
                <w:b w:val="0"/>
                <w:bCs w:val="0"/>
                <w:color w:val="auto"/>
                <w:kern w:val="0"/>
                <w:sz w:val="24"/>
                <w:highlight w:val="none"/>
                <w:u w:val="none"/>
                <w:lang w:bidi="ar"/>
              </w:rPr>
              <w:t>。</w:t>
            </w:r>
          </w:p>
        </w:tc>
      </w:tr>
    </w:tbl>
    <w:p>
      <w:pPr>
        <w:widowControl/>
        <w:spacing w:line="400" w:lineRule="exact"/>
        <w:jc w:val="left"/>
        <w:rPr>
          <w:rFonts w:ascii="新宋体" w:hAnsi="新宋体" w:eastAsia="新宋体" w:cs="新宋体"/>
          <w:b/>
          <w:bCs/>
          <w:color w:val="auto"/>
          <w:kern w:val="0"/>
          <w:sz w:val="24"/>
          <w:highlight w:val="none"/>
          <w:lang w:bidi="ar"/>
        </w:rPr>
      </w:pPr>
    </w:p>
    <w:p>
      <w:pPr>
        <w:spacing w:line="400" w:lineRule="exact"/>
        <w:rPr>
          <w:rFonts w:ascii="新宋体" w:hAnsi="新宋体" w:eastAsia="新宋体" w:cs="新宋体"/>
          <w:color w:val="auto"/>
          <w:sz w:val="24"/>
          <w:highlight w:val="none"/>
        </w:rPr>
      </w:pPr>
      <w:r>
        <w:rPr>
          <w:rFonts w:hint="eastAsia" w:ascii="新宋体" w:hAnsi="新宋体" w:eastAsia="新宋体" w:cs="新宋体"/>
          <w:color w:val="auto"/>
          <w:sz w:val="24"/>
          <w:highlight w:val="none"/>
        </w:rPr>
        <w:br w:type="page"/>
      </w:r>
    </w:p>
    <w:p>
      <w:pPr>
        <w:widowControl/>
        <w:spacing w:line="400" w:lineRule="exact"/>
        <w:jc w:val="center"/>
        <w:rPr>
          <w:rFonts w:ascii="新宋体" w:hAnsi="新宋体" w:eastAsia="新宋体" w:cs="新宋体"/>
          <w:color w:val="auto"/>
          <w:sz w:val="32"/>
          <w:szCs w:val="32"/>
          <w:highlight w:val="none"/>
        </w:rPr>
      </w:pPr>
      <w:r>
        <w:rPr>
          <w:rFonts w:hint="eastAsia" w:ascii="新宋体" w:hAnsi="新宋体" w:eastAsia="新宋体" w:cs="新宋体"/>
          <w:b/>
          <w:bCs/>
          <w:color w:val="auto"/>
          <w:kern w:val="0"/>
          <w:sz w:val="32"/>
          <w:szCs w:val="32"/>
          <w:highlight w:val="none"/>
          <w:lang w:bidi="ar"/>
        </w:rPr>
        <w:t>第三部分  报价须知</w:t>
      </w:r>
    </w:p>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一、概念释义</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”是指：广州市自来水工程有限公司</w:t>
      </w:r>
      <w:r>
        <w:rPr>
          <w:rFonts w:hint="eastAsia" w:ascii="新宋体" w:hAnsi="新宋体" w:eastAsia="新宋体" w:cs="新宋体"/>
          <w:color w:val="auto"/>
          <w:kern w:val="0"/>
          <w:sz w:val="24"/>
          <w:highlight w:val="none"/>
          <w:lang w:eastAsia="zh-CN" w:bidi="ar"/>
        </w:rPr>
        <w:t>及下属单位</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“报价人”是指</w:t>
      </w: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参与本次采购项目竞争的法人单位</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”是指：经</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程序确认并授以合同的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eastAsia="zh-CN" w:bidi="ar"/>
        </w:rPr>
        <w:t>“采购文件”是指：采购人按采购需求及相关规定编制的文件。</w:t>
      </w:r>
    </w:p>
    <w:p>
      <w:pPr>
        <w:widowControl/>
        <w:spacing w:line="400" w:lineRule="exact"/>
        <w:ind w:firstLine="480" w:firstLineChars="200"/>
        <w:jc w:val="left"/>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eastAsia="zh-CN" w:bidi="ar"/>
        </w:rPr>
        <w:t>“响应文件”是指：报价人根据采购文件要求编制的参与竞争的报价文件。</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二、</w:t>
      </w:r>
      <w:r>
        <w:rPr>
          <w:rFonts w:hint="eastAsia" w:ascii="新宋体" w:hAnsi="新宋体" w:eastAsia="新宋体" w:cs="新宋体"/>
          <w:b/>
          <w:bCs/>
          <w:color w:val="auto"/>
          <w:kern w:val="0"/>
          <w:sz w:val="24"/>
          <w:highlight w:val="none"/>
          <w:lang w:eastAsia="zh-CN" w:bidi="ar"/>
        </w:rPr>
        <w:t>采购文件</w:t>
      </w:r>
      <w:r>
        <w:rPr>
          <w:rFonts w:hint="eastAsia" w:ascii="新宋体" w:hAnsi="新宋体" w:eastAsia="新宋体" w:cs="新宋体"/>
          <w:b/>
          <w:bCs/>
          <w:color w:val="auto"/>
          <w:kern w:val="0"/>
          <w:sz w:val="24"/>
          <w:highlight w:val="none"/>
          <w:lang w:bidi="ar"/>
        </w:rPr>
        <w:t>适用范围</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本</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适用于本询比邀请中所述项目的询比。</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三、</w:t>
      </w:r>
      <w:r>
        <w:rPr>
          <w:rFonts w:hint="eastAsia" w:ascii="新宋体" w:hAnsi="新宋体" w:eastAsia="新宋体" w:cs="新宋体"/>
          <w:b/>
          <w:bCs/>
          <w:color w:val="auto"/>
          <w:kern w:val="0"/>
          <w:sz w:val="24"/>
          <w:highlight w:val="none"/>
          <w:lang w:eastAsia="zh-CN" w:bidi="ar"/>
        </w:rPr>
        <w:t>采购文件</w:t>
      </w:r>
      <w:r>
        <w:rPr>
          <w:rFonts w:hint="eastAsia" w:ascii="新宋体" w:hAnsi="新宋体" w:eastAsia="新宋体" w:cs="新宋体"/>
          <w:b/>
          <w:bCs/>
          <w:color w:val="auto"/>
          <w:kern w:val="0"/>
          <w:sz w:val="24"/>
          <w:highlight w:val="none"/>
          <w:lang w:bidi="ar"/>
        </w:rPr>
        <w:t>包括但不限于下列文件：</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（1）采购公告</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（2）项目内容</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（3）报价须知</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（4）最高询比限价</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（5）采购需求</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（6）合同书格式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（7）响应文件格式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（8）在</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过程中由</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发出的修正和补充文件等</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四、</w:t>
      </w:r>
      <w:r>
        <w:rPr>
          <w:rFonts w:hint="eastAsia" w:ascii="新宋体" w:hAnsi="新宋体" w:eastAsia="新宋体" w:cs="新宋体"/>
          <w:b/>
          <w:bCs/>
          <w:color w:val="auto"/>
          <w:kern w:val="0"/>
          <w:sz w:val="24"/>
          <w:highlight w:val="none"/>
          <w:lang w:eastAsia="zh-CN" w:bidi="ar"/>
        </w:rPr>
        <w:t>报价人</w:t>
      </w:r>
      <w:r>
        <w:rPr>
          <w:rFonts w:hint="eastAsia" w:ascii="新宋体" w:hAnsi="新宋体" w:eastAsia="新宋体" w:cs="新宋体"/>
          <w:b/>
          <w:bCs/>
          <w:color w:val="auto"/>
          <w:kern w:val="0"/>
          <w:sz w:val="24"/>
          <w:highlight w:val="none"/>
          <w:lang w:bidi="ar"/>
        </w:rPr>
        <w:t>的要求</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应认真阅读、并充分理解</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的全部内容（包括所有的补充、修改内容、重要事项、格式、条款等）。</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没有按照</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要求提交全部资料，或者没有对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在各方面都做出实质性响应是</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的风险，有可能导致其响应被拒绝，或被认定为无效响应。</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应满足如下资格要求：</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1.中华人民共和国境内注册的独立法人，持有工商行政管理部门核发的营业执照。</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2.根据《广州市交通运输局转发交通运输部办公厅关于贯彻落实〈机动车维修管理规定〉的通知》（穗交运函﹝2019﹞2379号）的要求，</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须提供完成属地交管部门签章的《机动车维修经营备案表》或有效期内的原道路运输经营许可证。且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具备二类或以上汽车维修资质。</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不得存在下列情形之一（</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询比响应时需提供加盖公章的不存在资格条件要求“报价不得存在下列情形之一”规定情况的声明函）：</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1</w:t>
      </w:r>
      <w:r>
        <w:rPr>
          <w:rFonts w:hint="eastAsia" w:ascii="新宋体" w:hAnsi="新宋体" w:eastAsia="新宋体" w:cs="新宋体"/>
          <w:color w:val="auto"/>
          <w:kern w:val="0"/>
          <w:sz w:val="24"/>
          <w:highlight w:val="none"/>
          <w:lang w:bidi="ar"/>
        </w:rPr>
        <w:t>.与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存在利害关系且可能影响采购公正性；</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2</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采购项目</w:t>
      </w:r>
      <w:r>
        <w:rPr>
          <w:rFonts w:hint="eastAsia" w:ascii="新宋体" w:hAnsi="新宋体" w:eastAsia="新宋体" w:cs="新宋体"/>
          <w:color w:val="auto"/>
          <w:kern w:val="0"/>
          <w:sz w:val="24"/>
          <w:highlight w:val="none"/>
          <w:lang w:bidi="ar"/>
        </w:rPr>
        <w:t>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为同一个单位负责人；</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3</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采购项目</w:t>
      </w:r>
      <w:r>
        <w:rPr>
          <w:rFonts w:hint="eastAsia" w:ascii="新宋体" w:hAnsi="新宋体" w:eastAsia="新宋体" w:cs="新宋体"/>
          <w:color w:val="auto"/>
          <w:kern w:val="0"/>
          <w:sz w:val="24"/>
          <w:highlight w:val="none"/>
          <w:lang w:bidi="ar"/>
        </w:rPr>
        <w:t>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存在控股、管理关系；</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4</w:t>
      </w:r>
      <w:r>
        <w:rPr>
          <w:rFonts w:hint="eastAsia" w:ascii="新宋体" w:hAnsi="新宋体" w:eastAsia="新宋体" w:cs="新宋体"/>
          <w:color w:val="auto"/>
          <w:kern w:val="0"/>
          <w:sz w:val="24"/>
          <w:highlight w:val="none"/>
          <w:lang w:bidi="ar"/>
        </w:rPr>
        <w:t>.被依法暂停或者取消投标资格；</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5</w:t>
      </w:r>
      <w:r>
        <w:rPr>
          <w:rFonts w:hint="eastAsia" w:ascii="新宋体" w:hAnsi="新宋体" w:eastAsia="新宋体" w:cs="新宋体"/>
          <w:color w:val="auto"/>
          <w:kern w:val="0"/>
          <w:sz w:val="24"/>
          <w:highlight w:val="none"/>
          <w:lang w:bidi="ar"/>
        </w:rPr>
        <w:t>.被责令停产停业、暂扣或者吊销许可证、暂扣或者吊销执照；</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6</w:t>
      </w:r>
      <w:r>
        <w:rPr>
          <w:rFonts w:hint="eastAsia" w:ascii="新宋体" w:hAnsi="新宋体" w:eastAsia="新宋体" w:cs="新宋体"/>
          <w:color w:val="auto"/>
          <w:kern w:val="0"/>
          <w:sz w:val="24"/>
          <w:highlight w:val="none"/>
          <w:lang w:bidi="ar"/>
        </w:rPr>
        <w:t>.进入清算程序，或被宣告破产，或其他丧失履约能力的情形；</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7</w:t>
      </w:r>
      <w:r>
        <w:rPr>
          <w:rFonts w:hint="eastAsia" w:ascii="新宋体" w:hAnsi="新宋体" w:eastAsia="新宋体" w:cs="新宋体"/>
          <w:color w:val="auto"/>
          <w:kern w:val="0"/>
          <w:sz w:val="24"/>
          <w:highlight w:val="none"/>
          <w:lang w:bidi="ar"/>
        </w:rPr>
        <w:t>.在最近三年内发生重大质量问题；</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8</w:t>
      </w:r>
      <w:r>
        <w:rPr>
          <w:rFonts w:hint="eastAsia" w:ascii="新宋体" w:hAnsi="新宋体" w:eastAsia="新宋体" w:cs="新宋体"/>
          <w:color w:val="auto"/>
          <w:kern w:val="0"/>
          <w:sz w:val="24"/>
          <w:highlight w:val="none"/>
          <w:lang w:bidi="ar"/>
        </w:rPr>
        <w:t>.被工商行政管理机关在全国企业信用信息公示系统中列入严重违法失信企业名单；</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9</w:t>
      </w:r>
      <w:r>
        <w:rPr>
          <w:rFonts w:hint="eastAsia" w:ascii="新宋体" w:hAnsi="新宋体" w:eastAsia="新宋体" w:cs="新宋体"/>
          <w:color w:val="auto"/>
          <w:kern w:val="0"/>
          <w:sz w:val="24"/>
          <w:highlight w:val="none"/>
          <w:lang w:bidi="ar"/>
        </w:rPr>
        <w:t>.被纳入失信联合惩戒名单（具体名单以递交响应文件截止时间“信用广州”公布的“失信黑名单”为准）；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val="en-US" w:eastAsia="zh-CN" w:bidi="ar"/>
        </w:rPr>
        <w:t>0</w:t>
      </w:r>
      <w:r>
        <w:rPr>
          <w:rFonts w:hint="eastAsia" w:ascii="新宋体" w:hAnsi="新宋体" w:eastAsia="新宋体" w:cs="新宋体"/>
          <w:color w:val="auto"/>
          <w:kern w:val="0"/>
          <w:sz w:val="24"/>
          <w:highlight w:val="none"/>
          <w:lang w:bidi="ar"/>
        </w:rPr>
        <w:t>.法律法规规定的其他情形。</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五、</w:t>
      </w:r>
      <w:r>
        <w:rPr>
          <w:rFonts w:hint="eastAsia" w:ascii="新宋体" w:hAnsi="新宋体" w:eastAsia="新宋体" w:cs="新宋体"/>
          <w:b/>
          <w:bCs/>
          <w:color w:val="auto"/>
          <w:kern w:val="0"/>
          <w:sz w:val="24"/>
          <w:highlight w:val="none"/>
          <w:lang w:eastAsia="zh-CN" w:bidi="ar"/>
        </w:rPr>
        <w:t>采购文件</w:t>
      </w:r>
      <w:r>
        <w:rPr>
          <w:rFonts w:hint="eastAsia" w:ascii="新宋体" w:hAnsi="新宋体" w:eastAsia="新宋体" w:cs="新宋体"/>
          <w:b/>
          <w:bCs/>
          <w:color w:val="auto"/>
          <w:kern w:val="0"/>
          <w:sz w:val="24"/>
          <w:highlight w:val="none"/>
          <w:lang w:bidi="ar"/>
        </w:rPr>
        <w:t>的澄清或修改</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的澄清是指</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中的遗漏、错误、词义表达不清或对比较复杂的事项进行说明，回答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提出的各种问题。</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的修改是指</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中出现的错误进行修订。</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任何要求对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进行澄清的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，均应以书面形式通知</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对其收到的书面的对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的澄清，交易文件的澄清或修改将在广州市自来水工程有限公司网站发布。</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交易文件的澄清、修改和答疑纪要一经在广州市自来水工程有限公司网站发布，视作已发放给所有供应商。</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可以视</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具体情况，延长递交</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响应文件截止时间，并将变更时间书面通知所有</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收受人。</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六、</w:t>
      </w:r>
      <w:r>
        <w:rPr>
          <w:rFonts w:hint="eastAsia" w:ascii="新宋体" w:hAnsi="新宋体" w:eastAsia="新宋体" w:cs="新宋体"/>
          <w:b/>
          <w:bCs/>
          <w:color w:val="auto"/>
          <w:kern w:val="0"/>
          <w:sz w:val="24"/>
          <w:highlight w:val="none"/>
          <w:lang w:eastAsia="zh-CN" w:bidi="ar"/>
        </w:rPr>
        <w:t>采购</w:t>
      </w:r>
      <w:r>
        <w:rPr>
          <w:rFonts w:hint="eastAsia" w:ascii="新宋体" w:hAnsi="新宋体" w:eastAsia="新宋体" w:cs="新宋体"/>
          <w:b/>
          <w:bCs/>
          <w:color w:val="auto"/>
          <w:kern w:val="0"/>
          <w:sz w:val="24"/>
          <w:highlight w:val="none"/>
          <w:lang w:bidi="ar"/>
        </w:rPr>
        <w:t>响应费用</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应承担所有与准备和参加</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响应有关的费用。不论</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的结果如何，</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均无义务和责任承担这些费用。</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七、报价的语言及计量</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提交的响应文件以及</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就有关</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的所有来往函电均应使用中文。</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提交的支持文件或印刷的资料可以用另一种语言，但相应内容应附有中文翻译本，在解释询比响应文件的修改内容时以中文翻译本为准。对中文翻译有异议的，以权威机构的译本为准。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除非</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中另有规定，</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在响应文件中及其与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的所有往来文件中的计量单位均应采用中华人民共和国法定计量单位。</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八、询比响应文件的构成</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编制的响应文件应包括但不少于本</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第七部分响应文件格式的所有内容。</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九、响应文件编制</w:t>
      </w:r>
    </w:p>
    <w:p>
      <w:pPr>
        <w:spacing w:line="360" w:lineRule="auto"/>
        <w:ind w:firstLine="480" w:firstLineChars="200"/>
        <w:rPr>
          <w:rFonts w:asciiTheme="minorEastAsia" w:hAnsiTheme="minorEastAsia"/>
          <w:b/>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报价人</w:t>
      </w:r>
      <w:r>
        <w:rPr>
          <w:rFonts w:hint="eastAsia" w:ascii="宋体" w:hAnsi="宋体" w:eastAsia="宋体" w:cs="宋体"/>
          <w:bCs/>
          <w:color w:val="auto"/>
          <w:sz w:val="24"/>
          <w:highlight w:val="none"/>
        </w:rPr>
        <w:t>应按采购文件的要求编制纸质版响应文件并装订成册,</w:t>
      </w:r>
      <w:r>
        <w:rPr>
          <w:rFonts w:hint="eastAsia" w:asciiTheme="minorEastAsia" w:hAnsiTheme="minorEastAsia"/>
          <w:b/>
          <w:color w:val="auto"/>
          <w:sz w:val="24"/>
          <w:highlight w:val="none"/>
        </w:rPr>
        <w:t>每套响应文件含正本1份，副本2份。</w:t>
      </w:r>
      <w:r>
        <w:rPr>
          <w:rFonts w:hint="eastAsia" w:ascii="宋体" w:hAnsi="宋体"/>
          <w:color w:val="auto"/>
          <w:sz w:val="24"/>
          <w:highlight w:val="none"/>
        </w:rPr>
        <w:t>副本内容可采用正本的复印件，如果正本与副本不符，应以正本为准。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不得将项目内容拆开报价，否则其报价将被视为非实质性响应。</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应按采购文件的规定及附件要求的内容和格式完整地填写和提供资料。</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必须对响应文件所提供的全部资料的真实性承担法律责任，并无条件接受</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对其中任何资料进行核实（核对原件）的要求。</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核对发现有不一致或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无正当理由不按时提供原件的，其报价将被拒绝。</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中，凡标有“★”的地方均为实质性响应条款，</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若有一项带“★”的条款未响应或不满足，其报价将被拒绝。</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5．</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须对</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的对应要求给予唯一的实质性响应，否则将视为不响应。</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6．除在</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另有规定外，计量单位应使用中华人民共和国法定计量单位，以人民币填报所有报价。</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7．</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必须按采购文件指定的格式填写各种报价，各报价应计算正确。</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8．响应文件以及</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就有关报价的往来函电均应使用中文。</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9．</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须按照要求对部分要求签章的文件进行签章。</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十、报价</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报价时应根据按照《车辆维修项目工时费明细表》，报出统一的维修项目工时费下浮率；根据《车辆年审费明细表》，报出统一的年审费下浮率</w:t>
      </w:r>
      <w:r>
        <w:rPr>
          <w:rFonts w:hint="eastAsia" w:ascii="新宋体" w:hAnsi="新宋体" w:eastAsia="新宋体" w:cs="新宋体"/>
          <w:color w:val="auto"/>
          <w:kern w:val="0"/>
          <w:sz w:val="24"/>
          <w:highlight w:val="none"/>
          <w:lang w:eastAsia="zh-CN" w:bidi="ar"/>
        </w:rPr>
        <w:t>；报出统一的</w:t>
      </w:r>
      <w:r>
        <w:rPr>
          <w:rFonts w:hint="eastAsia" w:ascii="新宋体" w:hAnsi="新宋体" w:eastAsia="新宋体" w:cs="新宋体"/>
          <w:color w:val="auto"/>
          <w:kern w:val="0"/>
          <w:sz w:val="24"/>
          <w:highlight w:val="none"/>
          <w:lang w:bidi="ar"/>
        </w:rPr>
        <w:t>维修材料管理费率。</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十一、联合体报价</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本项目不接受联合体参加报价。</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十二、报价有效期</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响应文件应在开封</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之日起</w:t>
      </w:r>
      <w:r>
        <w:rPr>
          <w:rFonts w:hint="eastAsia" w:ascii="新宋体" w:hAnsi="新宋体" w:eastAsia="新宋体" w:cs="新宋体"/>
          <w:b/>
          <w:bCs/>
          <w:color w:val="auto"/>
          <w:kern w:val="0"/>
          <w:sz w:val="24"/>
          <w:highlight w:val="none"/>
          <w:lang w:bidi="ar"/>
        </w:rPr>
        <w:t>90天</w:t>
      </w:r>
      <w:r>
        <w:rPr>
          <w:rFonts w:hint="eastAsia" w:ascii="新宋体" w:hAnsi="新宋体" w:eastAsia="新宋体" w:cs="新宋体"/>
          <w:color w:val="auto"/>
          <w:kern w:val="0"/>
          <w:sz w:val="24"/>
          <w:highlight w:val="none"/>
          <w:lang w:bidi="ar"/>
        </w:rPr>
        <w:t>内保持有效。报价有效期比规定时间短的将被作为非实质性响应</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而予以拒绝。</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特殊情况下，</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可于报价有效期期满之前，要求</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同意延长报价有效期，要求与答复均应为书面形式。</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十三、响应文件的递交</w:t>
      </w:r>
    </w:p>
    <w:p>
      <w:pPr>
        <w:pStyle w:val="16"/>
        <w:spacing w:line="400" w:lineRule="exact"/>
        <w:ind w:firstLine="498" w:firstLineChars="0"/>
        <w:rPr>
          <w:bCs/>
          <w:color w:val="auto"/>
          <w:highlight w:val="none"/>
        </w:rPr>
      </w:pPr>
      <w:r>
        <w:rPr>
          <w:rFonts w:hint="eastAsia" w:ascii="宋体" w:hAnsi="宋体" w:eastAsia="宋体" w:cs="宋体"/>
          <w:bCs/>
          <w:color w:val="auto"/>
          <w:highlight w:val="none"/>
        </w:rPr>
        <w:t>（一）响应文件的提交</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应按</w:t>
      </w:r>
      <w:r>
        <w:rPr>
          <w:rFonts w:hint="eastAsia" w:ascii="宋体" w:hAnsi="宋体" w:eastAsia="宋体" w:cs="宋体"/>
          <w:bCs/>
          <w:color w:val="auto"/>
          <w:highlight w:val="none"/>
          <w:lang w:eastAsia="zh-CN"/>
        </w:rPr>
        <w:t>采购</w:t>
      </w:r>
      <w:r>
        <w:rPr>
          <w:rFonts w:hint="eastAsia" w:ascii="宋体" w:hAnsi="宋体" w:eastAsia="宋体" w:cs="宋体"/>
          <w:bCs/>
          <w:color w:val="auto"/>
          <w:highlight w:val="none"/>
        </w:rPr>
        <w:t>公告所规定的时间提交纸质版响应文件，未及时提交的采购人将拒绝受理。</w:t>
      </w:r>
    </w:p>
    <w:p>
      <w:pPr>
        <w:pStyle w:val="16"/>
        <w:topLinePunct w:val="0"/>
        <w:adjustRightInd/>
        <w:snapToGrid/>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提交地点：</w:t>
      </w:r>
      <w:r>
        <w:rPr>
          <w:rFonts w:hint="eastAsia" w:ascii="宋体" w:hAnsi="宋体" w:eastAsia="宋体" w:cs="宋体"/>
          <w:bCs/>
          <w:color w:val="auto"/>
          <w:highlight w:val="none"/>
          <w:u w:val="single"/>
        </w:rPr>
        <w:t xml:space="preserve">广州市越秀区大沙头路3号广州市自来水工程有限公司 </w:t>
      </w:r>
      <w:r>
        <w:rPr>
          <w:rFonts w:hint="eastAsia" w:ascii="宋体" w:hAnsi="宋体" w:eastAsia="宋体" w:cs="宋体"/>
          <w:bCs/>
          <w:color w:val="auto"/>
          <w:highlight w:val="none"/>
        </w:rPr>
        <w:t xml:space="preserve"> </w:t>
      </w:r>
    </w:p>
    <w:p>
      <w:pPr>
        <w:spacing w:line="400" w:lineRule="exact"/>
        <w:ind w:firstLine="420"/>
        <w:rPr>
          <w:rFonts w:ascii="宋体" w:hAnsi="宋体" w:eastAsia="宋体" w:cs="宋体"/>
          <w:bCs/>
          <w:color w:val="auto"/>
          <w:sz w:val="24"/>
          <w:highlight w:val="none"/>
        </w:rPr>
      </w:pPr>
      <w:r>
        <w:rPr>
          <w:rFonts w:hint="eastAsia" w:ascii="宋体" w:hAnsi="宋体" w:eastAsia="宋体" w:cs="宋体"/>
          <w:bCs/>
          <w:color w:val="auto"/>
          <w:sz w:val="24"/>
          <w:highlight w:val="none"/>
        </w:rPr>
        <w:t>（二）响应文件的撤回和替换</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1</w:t>
      </w:r>
      <w:r>
        <w:rPr>
          <w:rFonts w:hint="eastAsia" w:ascii="新宋体" w:hAnsi="新宋体" w:eastAsia="新宋体" w:cs="新宋体"/>
          <w:color w:val="auto"/>
          <w:highlight w:val="none"/>
          <w:lang w:bidi="ar"/>
        </w:rPr>
        <w:t>．</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在递交响应文件截止时间前，可以撤回或替换已递交的响应文件。</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2</w:t>
      </w:r>
      <w:r>
        <w:rPr>
          <w:rFonts w:hint="eastAsia" w:ascii="新宋体" w:hAnsi="新宋体" w:eastAsia="新宋体" w:cs="新宋体"/>
          <w:color w:val="auto"/>
          <w:highlight w:val="none"/>
          <w:lang w:bidi="ar"/>
        </w:rPr>
        <w:t>．</w:t>
      </w:r>
      <w:r>
        <w:rPr>
          <w:rFonts w:hint="eastAsia" w:ascii="宋体" w:hAnsi="宋体" w:eastAsia="宋体" w:cs="宋体"/>
          <w:bCs/>
          <w:color w:val="auto"/>
          <w:highlight w:val="none"/>
        </w:rPr>
        <w:t>在递交响应文件截止时间后，</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不得补充、修改、撤回或替换响应文件。</w:t>
      </w:r>
    </w:p>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十四、评审小组</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评审由</w:t>
      </w:r>
      <w:r>
        <w:rPr>
          <w:rFonts w:hint="eastAsia" w:ascii="宋体" w:hAnsi="宋体" w:eastAsia="宋体" w:cs="宋体"/>
          <w:bCs/>
          <w:color w:val="auto"/>
          <w:highlight w:val="none"/>
          <w:lang w:eastAsia="zh-CN"/>
        </w:rPr>
        <w:t>采购人</w:t>
      </w:r>
      <w:r>
        <w:rPr>
          <w:rFonts w:hint="eastAsia" w:ascii="宋体" w:hAnsi="宋体" w:eastAsia="宋体" w:cs="宋体"/>
          <w:bCs/>
          <w:color w:val="auto"/>
          <w:highlight w:val="none"/>
        </w:rPr>
        <w:t>组建的评审小组负责。</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评审小组在评审过程中出现意见不一致时，遵循少数服从多数原则。</w:t>
      </w:r>
    </w:p>
    <w:p>
      <w:pPr>
        <w:pStyle w:val="16"/>
        <w:spacing w:line="400" w:lineRule="exact"/>
        <w:ind w:firstLine="496"/>
        <w:rPr>
          <w:rFonts w:ascii="宋体" w:hAnsi="宋体" w:eastAsia="宋体" w:cs="宋体"/>
          <w:bCs/>
          <w:color w:val="auto"/>
          <w:highlight w:val="none"/>
        </w:rPr>
      </w:pPr>
      <w:r>
        <w:rPr>
          <w:rFonts w:hint="eastAsia" w:ascii="宋体" w:hAnsi="宋体" w:eastAsia="宋体" w:cs="宋体"/>
          <w:bCs/>
          <w:color w:val="auto"/>
          <w:highlight w:val="none"/>
        </w:rPr>
        <w:t>评审依法根据</w:t>
      </w:r>
      <w:r>
        <w:rPr>
          <w:rFonts w:hint="eastAsia" w:ascii="宋体" w:hAnsi="宋体" w:eastAsia="宋体" w:cs="宋体"/>
          <w:bCs/>
          <w:color w:val="auto"/>
          <w:highlight w:val="none"/>
          <w:lang w:eastAsia="zh-CN"/>
        </w:rPr>
        <w:t>采购文件</w:t>
      </w:r>
      <w:r>
        <w:rPr>
          <w:rFonts w:hint="eastAsia" w:ascii="宋体" w:hAnsi="宋体" w:eastAsia="宋体" w:cs="宋体"/>
          <w:bCs/>
          <w:color w:val="auto"/>
          <w:highlight w:val="none"/>
        </w:rPr>
        <w:t>的规定对询比响应文件进行评审,并据此推荐成交候选人。</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十五、评审步骤</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由评审小组采用综合评分法对</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提交的响应文件进行综合评分。先进行资格、符合性审查，再进行商务及价格的详细评审。只有通过资格、符合性评审的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才能进入下一步的详细评审。</w:t>
      </w:r>
    </w:p>
    <w:p>
      <w:pPr>
        <w:widowControl/>
        <w:spacing w:line="400" w:lineRule="exact"/>
        <w:ind w:firstLine="480" w:firstLineChars="200"/>
        <w:jc w:val="left"/>
        <w:rPr>
          <w:rFonts w:ascii="新宋体" w:hAnsi="新宋体" w:eastAsia="新宋体" w:cs="新宋体"/>
          <w:b w:val="0"/>
          <w:bCs w:val="0"/>
          <w:color w:val="auto"/>
          <w:sz w:val="24"/>
          <w:highlight w:val="none"/>
        </w:rPr>
      </w:pPr>
      <w:r>
        <w:rPr>
          <w:rFonts w:hint="eastAsia" w:ascii="新宋体" w:hAnsi="新宋体" w:eastAsia="新宋体" w:cs="新宋体"/>
          <w:b w:val="0"/>
          <w:bCs w:val="0"/>
          <w:color w:val="auto"/>
          <w:kern w:val="0"/>
          <w:sz w:val="24"/>
          <w:highlight w:val="none"/>
          <w:lang w:bidi="ar"/>
        </w:rPr>
        <w:t>（一）资格、符合性评审表（详见附表一）</w:t>
      </w:r>
    </w:p>
    <w:p>
      <w:pPr>
        <w:widowControl/>
        <w:spacing w:line="400" w:lineRule="exact"/>
        <w:ind w:firstLine="480" w:firstLineChars="200"/>
        <w:jc w:val="left"/>
        <w:rPr>
          <w:rFonts w:ascii="新宋体" w:hAnsi="新宋体" w:eastAsia="新宋体" w:cs="新宋体"/>
          <w:b w:val="0"/>
          <w:bCs w:val="0"/>
          <w:color w:val="auto"/>
          <w:kern w:val="0"/>
          <w:sz w:val="24"/>
          <w:highlight w:val="none"/>
          <w:lang w:bidi="ar"/>
        </w:rPr>
      </w:pPr>
      <w:r>
        <w:rPr>
          <w:rFonts w:hint="eastAsia" w:ascii="新宋体" w:hAnsi="新宋体" w:eastAsia="新宋体" w:cs="新宋体"/>
          <w:b w:val="0"/>
          <w:bCs w:val="0"/>
          <w:color w:val="auto"/>
          <w:kern w:val="0"/>
          <w:sz w:val="24"/>
          <w:highlight w:val="none"/>
          <w:lang w:bidi="ar"/>
        </w:rPr>
        <w:t>（二）商务部分评审表（详见附表二）</w:t>
      </w:r>
    </w:p>
    <w:p>
      <w:pPr>
        <w:widowControl/>
        <w:spacing w:line="400" w:lineRule="exact"/>
        <w:ind w:firstLine="480" w:firstLineChars="200"/>
        <w:jc w:val="left"/>
        <w:rPr>
          <w:rFonts w:ascii="新宋体" w:hAnsi="新宋体" w:eastAsia="新宋体" w:cs="新宋体"/>
          <w:b w:val="0"/>
          <w:bCs w:val="0"/>
          <w:color w:val="auto"/>
          <w:kern w:val="0"/>
          <w:sz w:val="24"/>
          <w:highlight w:val="none"/>
          <w:lang w:bidi="ar"/>
        </w:rPr>
      </w:pPr>
      <w:r>
        <w:rPr>
          <w:rFonts w:hint="eastAsia" w:ascii="新宋体" w:hAnsi="新宋体" w:eastAsia="新宋体" w:cs="新宋体"/>
          <w:b w:val="0"/>
          <w:bCs w:val="0"/>
          <w:color w:val="auto"/>
          <w:kern w:val="0"/>
          <w:sz w:val="24"/>
          <w:highlight w:val="none"/>
          <w:lang w:bidi="ar"/>
        </w:rPr>
        <w:t>（三）技术部分评审表（详见附表三）</w:t>
      </w:r>
    </w:p>
    <w:p>
      <w:pPr>
        <w:widowControl/>
        <w:spacing w:line="400" w:lineRule="exact"/>
        <w:ind w:firstLine="480" w:firstLineChars="200"/>
        <w:jc w:val="left"/>
        <w:rPr>
          <w:rFonts w:ascii="新宋体" w:hAnsi="新宋体" w:eastAsia="新宋体" w:cs="新宋体"/>
          <w:b w:val="0"/>
          <w:bCs w:val="0"/>
          <w:color w:val="auto"/>
          <w:sz w:val="24"/>
          <w:highlight w:val="none"/>
        </w:rPr>
      </w:pPr>
      <w:r>
        <w:rPr>
          <w:rFonts w:hint="eastAsia" w:ascii="新宋体" w:hAnsi="新宋体" w:eastAsia="新宋体" w:cs="新宋体"/>
          <w:b w:val="0"/>
          <w:bCs w:val="0"/>
          <w:color w:val="auto"/>
          <w:kern w:val="0"/>
          <w:sz w:val="24"/>
          <w:highlight w:val="none"/>
          <w:lang w:bidi="ar"/>
        </w:rPr>
        <w:t>（四）价格评审表（详见附表四）</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十六、资格性、符合性评审</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由评审小组对参加</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进行资格性、符合性评审（详见附表一）。</w:t>
      </w:r>
    </w:p>
    <w:p>
      <w:pPr>
        <w:pStyle w:val="17"/>
        <w:widowControl/>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当满足资格性、有效性审查条件的</w:t>
      </w:r>
      <w:r>
        <w:rPr>
          <w:rFonts w:hint="eastAsia" w:ascii="宋体" w:hAnsi="宋体"/>
          <w:bCs/>
          <w:color w:val="auto"/>
          <w:sz w:val="24"/>
          <w:highlight w:val="none"/>
          <w:lang w:eastAsia="zh-CN"/>
        </w:rPr>
        <w:t>报价人</w:t>
      </w:r>
      <w:r>
        <w:rPr>
          <w:rFonts w:hint="eastAsia" w:ascii="宋体" w:hAnsi="宋体"/>
          <w:bCs/>
          <w:color w:val="auto"/>
          <w:sz w:val="24"/>
          <w:highlight w:val="none"/>
        </w:rPr>
        <w:t>多于等于3名时，取全部满足有效性审查条件的</w:t>
      </w:r>
      <w:r>
        <w:rPr>
          <w:rFonts w:hint="eastAsia" w:ascii="宋体" w:hAnsi="宋体"/>
          <w:bCs/>
          <w:color w:val="auto"/>
          <w:sz w:val="24"/>
          <w:highlight w:val="none"/>
          <w:lang w:eastAsia="zh-CN"/>
        </w:rPr>
        <w:t>报价人</w:t>
      </w:r>
      <w:r>
        <w:rPr>
          <w:rFonts w:hint="eastAsia" w:ascii="宋体" w:hAnsi="宋体"/>
          <w:bCs/>
          <w:color w:val="auto"/>
          <w:sz w:val="24"/>
          <w:highlight w:val="none"/>
        </w:rPr>
        <w:t>进入下一步评审。当满足有效性审查条件的</w:t>
      </w:r>
      <w:r>
        <w:rPr>
          <w:rFonts w:hint="eastAsia" w:ascii="宋体" w:hAnsi="宋体"/>
          <w:bCs/>
          <w:color w:val="auto"/>
          <w:sz w:val="24"/>
          <w:highlight w:val="none"/>
          <w:lang w:eastAsia="zh-CN"/>
        </w:rPr>
        <w:t>报价人</w:t>
      </w:r>
      <w:r>
        <w:rPr>
          <w:rFonts w:hint="eastAsia" w:ascii="宋体" w:hAnsi="宋体"/>
          <w:bCs/>
          <w:color w:val="auto"/>
          <w:sz w:val="24"/>
          <w:highlight w:val="none"/>
        </w:rPr>
        <w:t>不足3名时，则本项目交易失败。</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在</w:t>
      </w:r>
      <w:r>
        <w:rPr>
          <w:rFonts w:hint="eastAsia" w:ascii="新宋体" w:hAnsi="新宋体" w:eastAsia="新宋体" w:cs="新宋体"/>
          <w:color w:val="auto"/>
          <w:kern w:val="0"/>
          <w:sz w:val="24"/>
          <w:highlight w:val="none"/>
          <w:lang w:eastAsia="zh-CN" w:bidi="ar"/>
        </w:rPr>
        <w:t>评审</w:t>
      </w:r>
      <w:r>
        <w:rPr>
          <w:rFonts w:hint="eastAsia" w:ascii="新宋体" w:hAnsi="新宋体" w:eastAsia="新宋体" w:cs="新宋体"/>
          <w:color w:val="auto"/>
          <w:kern w:val="0"/>
          <w:sz w:val="24"/>
          <w:highlight w:val="none"/>
          <w:lang w:bidi="ar"/>
        </w:rPr>
        <w:t>过程中，响应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提交的澄清文件由响应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法定代表人或授权代表签署后生效，响应</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应受其约束。</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十七、比较与评价</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评审小组按</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中规定的评审方法和标准，对资格审查和符合性审查合格的响应文件进行综合评估，综合比较与评价。商务、价格部分分值分配如下：</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2188"/>
        <w:gridCol w:w="1704"/>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219"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评分项目</w:t>
            </w:r>
          </w:p>
        </w:tc>
        <w:tc>
          <w:tcPr>
            <w:tcW w:w="2188"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商务评分</w:t>
            </w:r>
          </w:p>
        </w:tc>
        <w:tc>
          <w:tcPr>
            <w:tcW w:w="1704"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技术评份</w:t>
            </w:r>
          </w:p>
        </w:tc>
        <w:tc>
          <w:tcPr>
            <w:tcW w:w="1704"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价格评分</w:t>
            </w:r>
          </w:p>
        </w:tc>
        <w:tc>
          <w:tcPr>
            <w:tcW w:w="1705"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219"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分值</w:t>
            </w:r>
          </w:p>
        </w:tc>
        <w:tc>
          <w:tcPr>
            <w:tcW w:w="2188"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40分</w:t>
            </w:r>
          </w:p>
        </w:tc>
        <w:tc>
          <w:tcPr>
            <w:tcW w:w="1704"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40分</w:t>
            </w:r>
          </w:p>
        </w:tc>
        <w:tc>
          <w:tcPr>
            <w:tcW w:w="1704"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20分</w:t>
            </w:r>
          </w:p>
        </w:tc>
        <w:tc>
          <w:tcPr>
            <w:tcW w:w="1705"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100分</w:t>
            </w:r>
          </w:p>
        </w:tc>
      </w:tr>
    </w:tbl>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十八、确定</w:t>
      </w:r>
      <w:r>
        <w:rPr>
          <w:rFonts w:hint="eastAsia" w:ascii="新宋体" w:hAnsi="新宋体" w:eastAsia="新宋体" w:cs="新宋体"/>
          <w:b/>
          <w:bCs/>
          <w:color w:val="auto"/>
          <w:kern w:val="0"/>
          <w:sz w:val="24"/>
          <w:highlight w:val="none"/>
          <w:lang w:eastAsia="zh-CN" w:bidi="ar"/>
        </w:rPr>
        <w:t>中选人</w:t>
      </w:r>
      <w:r>
        <w:rPr>
          <w:rFonts w:hint="eastAsia" w:ascii="新宋体" w:hAnsi="新宋体" w:eastAsia="新宋体" w:cs="新宋体"/>
          <w:b/>
          <w:bCs/>
          <w:color w:val="auto"/>
          <w:kern w:val="0"/>
          <w:sz w:val="24"/>
          <w:highlight w:val="none"/>
          <w:lang w:bidi="ar"/>
        </w:rPr>
        <w:t>原则</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依据评审推荐的第一候选人确定</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，如出现第一候选人被取消中选资格或放弃中选的情况，可由排名第二的候选人替补，以此类推。第一候选人不得随意放弃中选资格。</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确定后，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向</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发出《中选通知书》，对</w:t>
      </w:r>
      <w:r>
        <w:rPr>
          <w:rFonts w:hint="eastAsia" w:ascii="新宋体" w:hAnsi="新宋体" w:eastAsia="新宋体" w:cs="新宋体"/>
          <w:color w:val="auto"/>
          <w:kern w:val="0"/>
          <w:sz w:val="24"/>
          <w:highlight w:val="none"/>
          <w:lang w:eastAsia="zh-CN" w:bidi="ar"/>
        </w:rPr>
        <w:t>双方</w:t>
      </w:r>
      <w:r>
        <w:rPr>
          <w:rFonts w:hint="eastAsia" w:ascii="新宋体" w:hAnsi="新宋体" w:eastAsia="新宋体" w:cs="新宋体"/>
          <w:color w:val="auto"/>
          <w:kern w:val="0"/>
          <w:sz w:val="24"/>
          <w:highlight w:val="none"/>
          <w:lang w:bidi="ar"/>
        </w:rPr>
        <w:t>具有同等法律效力。</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十九、合同的订立</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向</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发出《中选通知书》之日起三十日内，按</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要求和</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响应文件承诺签订承包合同，但不得超出</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和</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响应文件的范围、也不得再行订立背离合同实质性内容的其他协议。</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二十、合同的履行</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服务</w:t>
      </w:r>
      <w:r>
        <w:rPr>
          <w:rFonts w:hint="eastAsia" w:ascii="新宋体" w:hAnsi="新宋体" w:eastAsia="新宋体" w:cs="新宋体"/>
          <w:color w:val="auto"/>
          <w:kern w:val="0"/>
          <w:sz w:val="24"/>
          <w:highlight w:val="none"/>
          <w:lang w:bidi="ar"/>
        </w:rPr>
        <w:t>合同订立后，合同各方不得擅自变更、中止或者终止合同。</w:t>
      </w:r>
      <w:r>
        <w:rPr>
          <w:rFonts w:hint="eastAsia" w:ascii="新宋体" w:hAnsi="新宋体" w:eastAsia="新宋体" w:cs="新宋体"/>
          <w:color w:val="auto"/>
          <w:kern w:val="0"/>
          <w:sz w:val="24"/>
          <w:highlight w:val="none"/>
          <w:lang w:eastAsia="zh-CN" w:bidi="ar"/>
        </w:rPr>
        <w:t>服务</w:t>
      </w:r>
      <w:r>
        <w:rPr>
          <w:rFonts w:hint="eastAsia" w:ascii="新宋体" w:hAnsi="新宋体" w:eastAsia="新宋体" w:cs="新宋体"/>
          <w:color w:val="auto"/>
          <w:kern w:val="0"/>
          <w:sz w:val="24"/>
          <w:highlight w:val="none"/>
          <w:lang w:bidi="ar"/>
        </w:rPr>
        <w:t>合同需要变更的，采购人应签订有关合同变更内容的补充协议；因特殊情况需要中止或终止合同的，采购人应书面形式通知</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，说明中止或终止合同的理由以及相应措施。</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因不可抗力或者自身原因不能履行</w:t>
      </w:r>
      <w:r>
        <w:rPr>
          <w:rFonts w:hint="eastAsia" w:ascii="新宋体" w:hAnsi="新宋体" w:eastAsia="新宋体" w:cs="新宋体"/>
          <w:color w:val="auto"/>
          <w:kern w:val="0"/>
          <w:sz w:val="24"/>
          <w:highlight w:val="none"/>
          <w:lang w:eastAsia="zh-CN" w:bidi="ar"/>
        </w:rPr>
        <w:t>服务</w:t>
      </w:r>
      <w:r>
        <w:rPr>
          <w:rFonts w:hint="eastAsia" w:ascii="新宋体" w:hAnsi="新宋体" w:eastAsia="新宋体" w:cs="新宋体"/>
          <w:color w:val="auto"/>
          <w:kern w:val="0"/>
          <w:sz w:val="24"/>
          <w:highlight w:val="none"/>
          <w:lang w:bidi="ar"/>
        </w:rPr>
        <w:t>合同的，</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可以与排位在</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之后第一位的成交候选</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签订</w:t>
      </w:r>
      <w:r>
        <w:rPr>
          <w:rFonts w:hint="eastAsia" w:ascii="新宋体" w:hAnsi="新宋体" w:eastAsia="新宋体" w:cs="新宋体"/>
          <w:color w:val="auto"/>
          <w:kern w:val="0"/>
          <w:sz w:val="24"/>
          <w:highlight w:val="none"/>
          <w:lang w:eastAsia="zh-CN" w:bidi="ar"/>
        </w:rPr>
        <w:t>服务</w:t>
      </w:r>
      <w:r>
        <w:rPr>
          <w:rFonts w:hint="eastAsia" w:ascii="新宋体" w:hAnsi="新宋体" w:eastAsia="新宋体" w:cs="新宋体"/>
          <w:color w:val="auto"/>
          <w:kern w:val="0"/>
          <w:sz w:val="24"/>
          <w:highlight w:val="none"/>
          <w:lang w:bidi="ar"/>
        </w:rPr>
        <w:t>合同，以此类推。</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二十一、质疑及答复</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如果</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认为</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或</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过程或</w:t>
      </w:r>
      <w:r>
        <w:rPr>
          <w:rFonts w:hint="eastAsia" w:ascii="新宋体" w:hAnsi="新宋体" w:eastAsia="新宋体" w:cs="新宋体"/>
          <w:color w:val="auto"/>
          <w:kern w:val="0"/>
          <w:sz w:val="24"/>
          <w:highlight w:val="none"/>
          <w:lang w:eastAsia="zh-CN" w:bidi="ar"/>
        </w:rPr>
        <w:t>采购</w:t>
      </w:r>
      <w:r>
        <w:rPr>
          <w:rFonts w:hint="eastAsia" w:ascii="新宋体" w:hAnsi="新宋体" w:eastAsia="新宋体" w:cs="新宋体"/>
          <w:color w:val="auto"/>
          <w:kern w:val="0"/>
          <w:sz w:val="24"/>
          <w:highlight w:val="none"/>
          <w:lang w:bidi="ar"/>
        </w:rPr>
        <w:t>结果使其权益受到损害的，可向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提出书面质疑。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应在规定时间内给与答复。</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hint="eastAsia" w:ascii="新宋体" w:hAnsi="新宋体" w:eastAsia="新宋体" w:cs="新宋体"/>
          <w:b/>
          <w:bCs/>
          <w:color w:val="auto"/>
          <w:kern w:val="0"/>
          <w:sz w:val="30"/>
          <w:szCs w:val="30"/>
          <w:highlight w:val="none"/>
          <w:lang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30"/>
          <w:szCs w:val="30"/>
          <w:highlight w:val="none"/>
          <w:lang w:bidi="ar"/>
        </w:rPr>
        <w:t>附表一  资格、符合性评审表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8"/>
        <w:gridCol w:w="7907"/>
        <w:gridCol w:w="827"/>
        <w:gridCol w:w="827"/>
        <w:gridCol w:w="827"/>
        <w:gridCol w:w="827"/>
        <w:gridCol w:w="827"/>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9015" w:type="dxa"/>
            <w:gridSpan w:val="2"/>
            <w:vMerge w:val="restart"/>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评审内容</w:t>
            </w:r>
          </w:p>
        </w:tc>
        <w:tc>
          <w:tcPr>
            <w:tcW w:w="4965" w:type="dxa"/>
            <w:gridSpan w:val="6"/>
            <w:vAlign w:val="center"/>
          </w:tcPr>
          <w:p>
            <w:pPr>
              <w:widowControl/>
              <w:spacing w:line="400" w:lineRule="exact"/>
              <w:jc w:val="center"/>
              <w:rPr>
                <w:rFonts w:hint="eastAsia" w:ascii="新宋体" w:hAnsi="新宋体" w:eastAsia="新宋体" w:cs="新宋体"/>
                <w:b/>
                <w:bCs/>
                <w:color w:val="auto"/>
                <w:kern w:val="0"/>
                <w:sz w:val="24"/>
                <w:highlight w:val="none"/>
                <w:lang w:eastAsia="zh-CN" w:bidi="ar"/>
              </w:rPr>
            </w:pPr>
            <w:r>
              <w:rPr>
                <w:rFonts w:hint="eastAsia" w:ascii="新宋体" w:hAnsi="新宋体" w:eastAsia="新宋体" w:cs="新宋体"/>
                <w:b/>
                <w:bCs/>
                <w:color w:val="auto"/>
                <w:kern w:val="0"/>
                <w:sz w:val="24"/>
                <w:highlight w:val="none"/>
                <w:lang w:eastAsia="zh-CN" w:bidi="ar"/>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015" w:type="dxa"/>
            <w:gridSpan w:val="2"/>
            <w:vMerge w:val="continue"/>
            <w:vAlign w:val="center"/>
          </w:tcPr>
          <w:p>
            <w:pPr>
              <w:widowControl/>
              <w:spacing w:line="400" w:lineRule="exact"/>
              <w:jc w:val="left"/>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2</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3</w:t>
            </w:r>
          </w:p>
        </w:tc>
        <w:tc>
          <w:tcPr>
            <w:tcW w:w="827" w:type="dxa"/>
            <w:vAlign w:val="center"/>
          </w:tcPr>
          <w:p>
            <w:pPr>
              <w:widowControl/>
              <w:spacing w:line="400" w:lineRule="exact"/>
              <w:jc w:val="center"/>
              <w:rPr>
                <w:rFonts w:hint="eastAsia" w:ascii="新宋体" w:hAnsi="新宋体" w:eastAsia="新宋体" w:cs="新宋体"/>
                <w:b/>
                <w:bCs/>
                <w:color w:val="auto"/>
                <w:kern w:val="0"/>
                <w:sz w:val="24"/>
                <w:highlight w:val="none"/>
                <w:lang w:val="en-US" w:eastAsia="zh-CN" w:bidi="ar"/>
              </w:rPr>
            </w:pPr>
            <w:r>
              <w:rPr>
                <w:rFonts w:hint="eastAsia" w:ascii="新宋体" w:hAnsi="新宋体" w:eastAsia="新宋体" w:cs="新宋体"/>
                <w:b/>
                <w:bCs/>
                <w:color w:val="auto"/>
                <w:kern w:val="0"/>
                <w:sz w:val="24"/>
                <w:highlight w:val="none"/>
                <w:lang w:val="en-US" w:eastAsia="zh-CN" w:bidi="ar"/>
              </w:rPr>
              <w:t>4</w:t>
            </w:r>
          </w:p>
        </w:tc>
        <w:tc>
          <w:tcPr>
            <w:tcW w:w="827" w:type="dxa"/>
            <w:vAlign w:val="center"/>
          </w:tcPr>
          <w:p>
            <w:pPr>
              <w:widowControl/>
              <w:spacing w:line="400" w:lineRule="exact"/>
              <w:jc w:val="center"/>
              <w:rPr>
                <w:rFonts w:hint="eastAsia" w:ascii="新宋体" w:hAnsi="新宋体" w:eastAsia="新宋体" w:cs="新宋体"/>
                <w:b/>
                <w:bCs/>
                <w:color w:val="auto"/>
                <w:kern w:val="0"/>
                <w:sz w:val="24"/>
                <w:highlight w:val="none"/>
                <w:lang w:val="en-US" w:eastAsia="zh-CN" w:bidi="ar"/>
              </w:rPr>
            </w:pPr>
            <w:r>
              <w:rPr>
                <w:rFonts w:hint="eastAsia" w:ascii="新宋体" w:hAnsi="新宋体" w:eastAsia="新宋体" w:cs="新宋体"/>
                <w:b/>
                <w:bCs/>
                <w:color w:val="auto"/>
                <w:kern w:val="0"/>
                <w:sz w:val="24"/>
                <w:highlight w:val="none"/>
                <w:lang w:val="en-US" w:eastAsia="zh-CN" w:bidi="ar"/>
              </w:rPr>
              <w:t>5</w:t>
            </w:r>
          </w:p>
        </w:tc>
        <w:tc>
          <w:tcPr>
            <w:tcW w:w="830" w:type="dxa"/>
            <w:vAlign w:val="center"/>
          </w:tcPr>
          <w:p>
            <w:pPr>
              <w:widowControl/>
              <w:spacing w:line="400" w:lineRule="exact"/>
              <w:jc w:val="center"/>
              <w:rPr>
                <w:rFonts w:hint="eastAsia" w:ascii="新宋体" w:hAnsi="新宋体" w:eastAsia="新宋体" w:cs="新宋体"/>
                <w:b/>
                <w:bCs/>
                <w:color w:val="auto"/>
                <w:kern w:val="0"/>
                <w:sz w:val="24"/>
                <w:highlight w:val="none"/>
                <w:lang w:bidi="ar"/>
              </w:rPr>
            </w:pPr>
            <w:r>
              <w:rPr>
                <w:rFonts w:hint="default" w:ascii="Arial" w:hAnsi="Arial" w:eastAsia="新宋体" w:cs="Arial"/>
                <w:b/>
                <w:bCs/>
                <w:color w:val="auto"/>
                <w:kern w:val="0"/>
                <w:sz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Align w:val="center"/>
          </w:tcPr>
          <w:p>
            <w:pPr>
              <w:widowControl/>
              <w:spacing w:line="400" w:lineRule="exact"/>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资格审查</w:t>
            </w: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是否符合</w:t>
            </w:r>
            <w:r>
              <w:rPr>
                <w:rFonts w:hint="eastAsia" w:ascii="新宋体" w:hAnsi="新宋体" w:eastAsia="新宋体" w:cs="新宋体"/>
                <w:color w:val="auto"/>
                <w:kern w:val="0"/>
                <w:szCs w:val="21"/>
                <w:highlight w:val="none"/>
                <w:lang w:eastAsia="zh-CN" w:bidi="ar"/>
              </w:rPr>
              <w:t>采购文件</w:t>
            </w:r>
            <w:r>
              <w:rPr>
                <w:rFonts w:hint="eastAsia" w:ascii="新宋体" w:hAnsi="新宋体" w:eastAsia="新宋体" w:cs="新宋体"/>
                <w:color w:val="auto"/>
                <w:kern w:val="0"/>
                <w:szCs w:val="21"/>
                <w:highlight w:val="none"/>
                <w:lang w:bidi="ar"/>
              </w:rPr>
              <w:t>规定（第一部分</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条件）的资格要求</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restart"/>
            <w:vAlign w:val="center"/>
          </w:tcPr>
          <w:p>
            <w:pPr>
              <w:widowControl/>
              <w:spacing w:line="400" w:lineRule="exact"/>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符合性</w:t>
            </w:r>
          </w:p>
          <w:p>
            <w:pPr>
              <w:widowControl/>
              <w:spacing w:line="400" w:lineRule="exact"/>
              <w:jc w:val="center"/>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审查</w:t>
            </w:r>
          </w:p>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是否符合报价有效期</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continue"/>
            <w:vAlign w:val="center"/>
          </w:tcPr>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是否响应文件签署合格</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continue"/>
            <w:vAlign w:val="center"/>
          </w:tcPr>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是否报价确定且符合要求</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continue"/>
            <w:vAlign w:val="center"/>
          </w:tcPr>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是否未出现有关法律、法规、规章或</w:t>
            </w:r>
            <w:r>
              <w:rPr>
                <w:rFonts w:hint="eastAsia" w:ascii="新宋体" w:hAnsi="新宋体" w:eastAsia="新宋体" w:cs="新宋体"/>
                <w:color w:val="auto"/>
                <w:kern w:val="0"/>
                <w:szCs w:val="21"/>
                <w:highlight w:val="none"/>
                <w:lang w:eastAsia="zh-CN" w:bidi="ar"/>
              </w:rPr>
              <w:t>采购文件</w:t>
            </w:r>
            <w:r>
              <w:rPr>
                <w:rFonts w:hint="eastAsia" w:ascii="新宋体" w:hAnsi="新宋体" w:eastAsia="新宋体" w:cs="新宋体"/>
                <w:color w:val="auto"/>
                <w:kern w:val="0"/>
                <w:szCs w:val="21"/>
                <w:highlight w:val="none"/>
                <w:lang w:bidi="ar"/>
              </w:rPr>
              <w:t>规定的属</w:t>
            </w:r>
          </w:p>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于响应无效的情形</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continue"/>
            <w:vAlign w:val="center"/>
          </w:tcPr>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是否没有其他未实质性响应</w:t>
            </w:r>
            <w:r>
              <w:rPr>
                <w:rFonts w:hint="eastAsia" w:ascii="新宋体" w:hAnsi="新宋体" w:eastAsia="新宋体" w:cs="新宋体"/>
                <w:color w:val="auto"/>
                <w:kern w:val="0"/>
                <w:szCs w:val="21"/>
                <w:highlight w:val="none"/>
                <w:lang w:eastAsia="zh-CN" w:bidi="ar"/>
              </w:rPr>
              <w:t>采购文件</w:t>
            </w:r>
            <w:r>
              <w:rPr>
                <w:rFonts w:hint="eastAsia" w:ascii="新宋体" w:hAnsi="新宋体" w:eastAsia="新宋体" w:cs="新宋体"/>
                <w:color w:val="auto"/>
                <w:kern w:val="0"/>
                <w:szCs w:val="21"/>
                <w:highlight w:val="none"/>
                <w:lang w:bidi="ar"/>
              </w:rPr>
              <w:t>要求的</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Merge w:val="continue"/>
            <w:vAlign w:val="center"/>
          </w:tcPr>
          <w:p>
            <w:pPr>
              <w:widowControl/>
              <w:spacing w:line="400" w:lineRule="exact"/>
              <w:jc w:val="center"/>
              <w:rPr>
                <w:rFonts w:ascii="新宋体" w:hAnsi="新宋体" w:eastAsia="新宋体" w:cs="新宋体"/>
                <w:b/>
                <w:bCs/>
                <w:color w:val="auto"/>
                <w:kern w:val="0"/>
                <w:szCs w:val="21"/>
                <w:highlight w:val="none"/>
                <w:lang w:bidi="ar"/>
              </w:rPr>
            </w:pP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响应文件完全满足采购文件中带★号的条款和指标(审查《实质性响应条款一览表》)</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8" w:type="dxa"/>
            <w:vAlign w:val="center"/>
          </w:tcPr>
          <w:p>
            <w:pPr>
              <w:widowControl/>
              <w:spacing w:line="400" w:lineRule="exact"/>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结论</w:t>
            </w:r>
          </w:p>
        </w:tc>
        <w:tc>
          <w:tcPr>
            <w:tcW w:w="7907" w:type="dxa"/>
            <w:vAlign w:val="center"/>
          </w:tcPr>
          <w:p>
            <w:pPr>
              <w:widowControl/>
              <w:spacing w:line="400" w:lineRule="exact"/>
              <w:jc w:val="left"/>
              <w:rPr>
                <w:rFonts w:ascii="新宋体" w:hAnsi="新宋体" w:eastAsia="新宋体" w:cs="新宋体"/>
                <w:b/>
                <w:bCs/>
                <w:color w:val="auto"/>
                <w:kern w:val="0"/>
                <w:szCs w:val="21"/>
                <w:highlight w:val="none"/>
                <w:lang w:bidi="ar"/>
              </w:rPr>
            </w:pPr>
            <w:r>
              <w:rPr>
                <w:rFonts w:hint="eastAsia" w:ascii="新宋体" w:hAnsi="新宋体" w:eastAsia="新宋体" w:cs="新宋体"/>
                <w:color w:val="auto"/>
                <w:kern w:val="0"/>
                <w:szCs w:val="21"/>
                <w:highlight w:val="none"/>
                <w:lang w:bidi="ar"/>
              </w:rPr>
              <w:t>是否实质性响应</w:t>
            </w:r>
            <w:r>
              <w:rPr>
                <w:rFonts w:hint="eastAsia" w:ascii="新宋体" w:hAnsi="新宋体" w:eastAsia="新宋体" w:cs="新宋体"/>
                <w:color w:val="auto"/>
                <w:kern w:val="0"/>
                <w:szCs w:val="21"/>
                <w:highlight w:val="none"/>
                <w:lang w:eastAsia="zh-CN" w:bidi="ar"/>
              </w:rPr>
              <w:t>采购文件</w:t>
            </w:r>
            <w:r>
              <w:rPr>
                <w:rFonts w:hint="eastAsia" w:ascii="新宋体" w:hAnsi="新宋体" w:eastAsia="新宋体" w:cs="新宋体"/>
                <w:color w:val="auto"/>
                <w:kern w:val="0"/>
                <w:szCs w:val="21"/>
                <w:highlight w:val="none"/>
                <w:lang w:bidi="ar"/>
              </w:rPr>
              <w:t>（写“是”或“否”）</w:t>
            </w: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27"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c>
          <w:tcPr>
            <w:tcW w:w="830" w:type="dxa"/>
            <w:vAlign w:val="center"/>
          </w:tcPr>
          <w:p>
            <w:pPr>
              <w:widowControl/>
              <w:spacing w:line="400" w:lineRule="exact"/>
              <w:jc w:val="center"/>
              <w:rPr>
                <w:rFonts w:ascii="新宋体" w:hAnsi="新宋体" w:eastAsia="新宋体" w:cs="新宋体"/>
                <w:b/>
                <w:bCs/>
                <w:color w:val="auto"/>
                <w:kern w:val="0"/>
                <w:sz w:val="24"/>
                <w:highlight w:val="none"/>
                <w:lang w:bidi="ar"/>
              </w:rPr>
            </w:pPr>
          </w:p>
        </w:tc>
      </w:tr>
    </w:tbl>
    <w:p>
      <w:pPr>
        <w:keepNext w:val="0"/>
        <w:keepLines w:val="0"/>
        <w:pageBreakBefore w:val="0"/>
        <w:widowControl/>
        <w:kinsoku/>
        <w:wordWrap/>
        <w:overflowPunct/>
        <w:topLinePunct w:val="0"/>
        <w:autoSpaceDE/>
        <w:autoSpaceDN/>
        <w:bidi w:val="0"/>
        <w:adjustRightInd/>
        <w:snapToGrid/>
        <w:spacing w:line="240" w:lineRule="auto"/>
        <w:ind w:left="420" w:leftChars="200"/>
        <w:jc w:val="left"/>
        <w:textAlignment w:val="auto"/>
        <w:rPr>
          <w:rFonts w:ascii="新宋体" w:hAnsi="新宋体" w:eastAsia="新宋体" w:cs="新宋体"/>
          <w:color w:val="auto"/>
          <w:sz w:val="21"/>
          <w:szCs w:val="21"/>
          <w:highlight w:val="none"/>
        </w:rPr>
      </w:pPr>
      <w:r>
        <w:rPr>
          <w:rFonts w:hint="eastAsia" w:ascii="新宋体" w:hAnsi="新宋体" w:eastAsia="新宋体" w:cs="新宋体"/>
          <w:b/>
          <w:bCs/>
          <w:color w:val="auto"/>
          <w:kern w:val="0"/>
          <w:sz w:val="21"/>
          <w:szCs w:val="21"/>
          <w:highlight w:val="none"/>
          <w:lang w:bidi="ar"/>
        </w:rPr>
        <w:t>注：</w:t>
      </w:r>
      <w:r>
        <w:rPr>
          <w:rFonts w:hint="eastAsia" w:ascii="新宋体" w:hAnsi="新宋体" w:eastAsia="新宋体" w:cs="新宋体"/>
          <w:color w:val="auto"/>
          <w:kern w:val="0"/>
          <w:sz w:val="21"/>
          <w:szCs w:val="21"/>
          <w:highlight w:val="none"/>
          <w:lang w:bidi="ar"/>
        </w:rPr>
        <w:t>1.表中全部条件满足为“是”,同意进入下一阶段评审；</w:t>
      </w:r>
    </w:p>
    <w:p>
      <w:pPr>
        <w:keepNext w:val="0"/>
        <w:keepLines w:val="0"/>
        <w:pageBreakBefore w:val="0"/>
        <w:widowControl/>
        <w:kinsoku/>
        <w:wordWrap/>
        <w:overflowPunct/>
        <w:topLinePunct w:val="0"/>
        <w:autoSpaceDE/>
        <w:autoSpaceDN/>
        <w:bidi w:val="0"/>
        <w:adjustRightInd/>
        <w:snapToGrid/>
        <w:spacing w:line="240" w:lineRule="auto"/>
        <w:ind w:left="840" w:leftChars="400"/>
        <w:jc w:val="left"/>
        <w:textAlignment w:val="auto"/>
        <w:rPr>
          <w:rFonts w:ascii="新宋体" w:hAnsi="新宋体" w:eastAsia="新宋体" w:cs="新宋体"/>
          <w:color w:val="auto"/>
          <w:sz w:val="21"/>
          <w:szCs w:val="21"/>
          <w:highlight w:val="none"/>
        </w:rPr>
      </w:pPr>
      <w:r>
        <w:rPr>
          <w:rFonts w:hint="eastAsia" w:ascii="新宋体" w:hAnsi="新宋体" w:eastAsia="新宋体" w:cs="新宋体"/>
          <w:color w:val="auto"/>
          <w:kern w:val="0"/>
          <w:sz w:val="21"/>
          <w:szCs w:val="21"/>
          <w:highlight w:val="none"/>
          <w:lang w:bidi="ar"/>
        </w:rPr>
        <w:t>2.“结论”一栏中应写“是”或“否”；</w:t>
      </w:r>
    </w:p>
    <w:p>
      <w:pPr>
        <w:keepNext w:val="0"/>
        <w:keepLines w:val="0"/>
        <w:pageBreakBefore w:val="0"/>
        <w:widowControl/>
        <w:kinsoku/>
        <w:wordWrap/>
        <w:overflowPunct/>
        <w:topLinePunct w:val="0"/>
        <w:autoSpaceDE/>
        <w:autoSpaceDN/>
        <w:bidi w:val="0"/>
        <w:adjustRightInd/>
        <w:snapToGrid/>
        <w:spacing w:line="240" w:lineRule="auto"/>
        <w:ind w:left="840" w:leftChars="400"/>
        <w:jc w:val="left"/>
        <w:textAlignment w:val="auto"/>
        <w:rPr>
          <w:rFonts w:ascii="新宋体" w:hAnsi="新宋体" w:eastAsia="新宋体" w:cs="新宋体"/>
          <w:color w:val="auto"/>
          <w:sz w:val="21"/>
          <w:szCs w:val="21"/>
          <w:highlight w:val="none"/>
        </w:rPr>
      </w:pPr>
      <w:r>
        <w:rPr>
          <w:rFonts w:hint="eastAsia" w:ascii="新宋体" w:hAnsi="新宋体" w:eastAsia="新宋体" w:cs="新宋体"/>
          <w:color w:val="auto"/>
          <w:kern w:val="0"/>
          <w:sz w:val="21"/>
          <w:szCs w:val="21"/>
          <w:highlight w:val="none"/>
          <w:lang w:bidi="ar"/>
        </w:rPr>
        <w:t>3.结论汇总意见采取少数服从多数原则，即超过半数评</w:t>
      </w:r>
      <w:r>
        <w:rPr>
          <w:rFonts w:hint="eastAsia" w:ascii="新宋体" w:hAnsi="新宋体" w:eastAsia="新宋体" w:cs="新宋体"/>
          <w:color w:val="auto"/>
          <w:kern w:val="0"/>
          <w:sz w:val="21"/>
          <w:szCs w:val="21"/>
          <w:highlight w:val="none"/>
          <w:lang w:eastAsia="zh-CN" w:bidi="ar"/>
        </w:rPr>
        <w:t>审小组</w:t>
      </w:r>
      <w:r>
        <w:rPr>
          <w:rFonts w:hint="eastAsia" w:ascii="新宋体" w:hAnsi="新宋体" w:eastAsia="新宋体" w:cs="新宋体"/>
          <w:color w:val="auto"/>
          <w:kern w:val="0"/>
          <w:sz w:val="21"/>
          <w:szCs w:val="21"/>
          <w:highlight w:val="none"/>
          <w:lang w:bidi="ar"/>
        </w:rPr>
        <w:t>的结论为“是”，则该</w:t>
      </w:r>
      <w:r>
        <w:rPr>
          <w:rFonts w:hint="eastAsia" w:ascii="新宋体" w:hAnsi="新宋体" w:eastAsia="新宋体" w:cs="新宋体"/>
          <w:color w:val="auto"/>
          <w:kern w:val="0"/>
          <w:sz w:val="21"/>
          <w:szCs w:val="21"/>
          <w:highlight w:val="none"/>
          <w:lang w:eastAsia="zh-CN" w:bidi="ar"/>
        </w:rPr>
        <w:t>报价人</w:t>
      </w:r>
      <w:r>
        <w:rPr>
          <w:rFonts w:hint="eastAsia" w:ascii="新宋体" w:hAnsi="新宋体" w:eastAsia="新宋体" w:cs="新宋体"/>
          <w:color w:val="auto"/>
          <w:kern w:val="0"/>
          <w:sz w:val="21"/>
          <w:szCs w:val="21"/>
          <w:highlight w:val="none"/>
          <w:lang w:bidi="ar"/>
        </w:rPr>
        <w:t>通过资格审查及符合性审查，否则不通过</w:t>
      </w:r>
    </w:p>
    <w:p>
      <w:pPr>
        <w:widowControl/>
        <w:jc w:val="left"/>
        <w:rPr>
          <w:rFonts w:hint="eastAsia" w:ascii="宋体" w:hAnsi="宋体" w:eastAsia="宋体" w:cs="宋体"/>
          <w:bCs/>
          <w:color w:val="auto"/>
          <w:highlight w:val="none"/>
        </w:rPr>
      </w:pPr>
    </w:p>
    <w:p>
      <w:pPr>
        <w:widowControl/>
        <w:jc w:val="left"/>
        <w:rPr>
          <w:rFonts w:hint="eastAsia" w:ascii="宋体" w:hAnsi="宋体" w:eastAsia="宋体" w:cs="宋体"/>
          <w:bCs/>
          <w:color w:val="auto"/>
          <w:highlight w:val="none"/>
        </w:rPr>
      </w:pPr>
    </w:p>
    <w:p>
      <w:pPr>
        <w:widowControl/>
        <w:jc w:val="left"/>
        <w:rPr>
          <w:rFonts w:hint="eastAsia" w:ascii="宋体" w:hAnsi="宋体" w:eastAsia="宋体" w:cs="宋体"/>
          <w:bCs/>
          <w:color w:val="auto"/>
          <w:highlight w:val="none"/>
        </w:rPr>
      </w:pPr>
    </w:p>
    <w:p>
      <w:pPr>
        <w:widowControl/>
        <w:jc w:val="left"/>
        <w:rPr>
          <w:rFonts w:hint="eastAsia" w:ascii="宋体" w:hAnsi="宋体" w:eastAsia="宋体" w:cs="宋体"/>
          <w:bCs/>
          <w:color w:val="auto"/>
          <w:highlight w:val="none"/>
        </w:rPr>
      </w:pPr>
      <w:r>
        <w:rPr>
          <w:rFonts w:hint="eastAsia" w:ascii="宋体" w:hAnsi="宋体" w:eastAsia="宋体" w:cs="宋体"/>
          <w:bCs/>
          <w:color w:val="auto"/>
          <w:highlight w:val="none"/>
        </w:rPr>
        <w:t xml:space="preserve">评委签名：  </w:t>
      </w:r>
    </w:p>
    <w:p>
      <w:pPr>
        <w:widowControl/>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24"/>
          <w:highlight w:val="none"/>
          <w:lang w:bidi="ar"/>
        </w:rPr>
        <w:br w:type="page"/>
      </w:r>
      <w:r>
        <w:rPr>
          <w:rFonts w:hint="eastAsia" w:ascii="新宋体" w:hAnsi="新宋体" w:eastAsia="新宋体" w:cs="新宋体"/>
          <w:b/>
          <w:bCs/>
          <w:color w:val="auto"/>
          <w:kern w:val="0"/>
          <w:sz w:val="30"/>
          <w:szCs w:val="30"/>
          <w:highlight w:val="none"/>
          <w:lang w:bidi="ar"/>
        </w:rPr>
        <w:t>附表二 商务部分评审表</w:t>
      </w:r>
      <w:r>
        <w:rPr>
          <w:rFonts w:hint="eastAsia" w:ascii="新宋体" w:hAnsi="新宋体" w:eastAsia="新宋体" w:cs="新宋体"/>
          <w:b/>
          <w:bCs/>
          <w:color w:val="auto"/>
          <w:kern w:val="0"/>
          <w:sz w:val="30"/>
          <w:szCs w:val="30"/>
          <w:highlight w:val="none"/>
          <w:lang w:eastAsia="zh-CN" w:bidi="ar"/>
        </w:rPr>
        <w:t>（</w:t>
      </w:r>
      <w:r>
        <w:rPr>
          <w:rFonts w:hint="eastAsia" w:ascii="新宋体" w:hAnsi="新宋体" w:eastAsia="新宋体" w:cs="新宋体"/>
          <w:b/>
          <w:bCs/>
          <w:color w:val="auto"/>
          <w:kern w:val="0"/>
          <w:sz w:val="30"/>
          <w:szCs w:val="30"/>
          <w:highlight w:val="none"/>
          <w:lang w:val="en-US" w:eastAsia="zh-CN" w:bidi="ar"/>
        </w:rPr>
        <w:t>40分</w:t>
      </w:r>
      <w:r>
        <w:rPr>
          <w:rFonts w:hint="eastAsia" w:ascii="新宋体" w:hAnsi="新宋体" w:eastAsia="新宋体" w:cs="新宋体"/>
          <w:b/>
          <w:bCs/>
          <w:color w:val="auto"/>
          <w:kern w:val="0"/>
          <w:sz w:val="30"/>
          <w:szCs w:val="30"/>
          <w:highlight w:val="none"/>
          <w:lang w:eastAsia="zh-CN" w:bidi="ar"/>
        </w:rPr>
        <w:t>）</w:t>
      </w:r>
    </w:p>
    <w:p>
      <w:pPr>
        <w:rPr>
          <w:rFonts w:ascii="新宋体" w:hAnsi="新宋体" w:eastAsia="新宋体" w:cs="新宋体"/>
          <w:b/>
          <w:bCs/>
          <w:color w:val="auto"/>
          <w:kern w:val="0"/>
          <w:sz w:val="24"/>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1028"/>
        <w:gridCol w:w="7460"/>
        <w:gridCol w:w="825"/>
        <w:gridCol w:w="825"/>
        <w:gridCol w:w="825"/>
        <w:gridCol w:w="825"/>
        <w:gridCol w:w="825"/>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02" w:type="dxa"/>
            <w:vMerge w:val="restart"/>
            <w:vAlign w:val="center"/>
          </w:tcPr>
          <w:p>
            <w:pPr>
              <w:widowControl/>
              <w:jc w:val="center"/>
              <w:rPr>
                <w:rFonts w:ascii="新宋体" w:hAnsi="新宋体" w:eastAsia="新宋体" w:cs="新宋体"/>
                <w:color w:val="auto"/>
                <w:kern w:val="0"/>
                <w:sz w:val="24"/>
                <w:highlight w:val="none"/>
                <w:lang w:bidi="ar"/>
              </w:rPr>
            </w:pPr>
            <w:r>
              <w:rPr>
                <w:rFonts w:ascii="宋体" w:hAnsi="宋体" w:eastAsia="宋体" w:cs="宋体"/>
                <w:color w:val="auto"/>
                <w:kern w:val="0"/>
                <w:sz w:val="24"/>
                <w:highlight w:val="none"/>
                <w:lang w:bidi="ar"/>
              </w:rPr>
              <w:t>序号</w:t>
            </w:r>
          </w:p>
        </w:tc>
        <w:tc>
          <w:tcPr>
            <w:tcW w:w="1028" w:type="dxa"/>
            <w:vMerge w:val="restart"/>
            <w:vAlign w:val="center"/>
          </w:tcPr>
          <w:p>
            <w:pPr>
              <w:widowControl/>
              <w:jc w:val="center"/>
              <w:rPr>
                <w:rFonts w:ascii="新宋体" w:hAnsi="新宋体" w:eastAsia="新宋体" w:cs="新宋体"/>
                <w:color w:val="auto"/>
                <w:kern w:val="0"/>
                <w:sz w:val="24"/>
                <w:highlight w:val="none"/>
                <w:lang w:bidi="ar"/>
              </w:rPr>
            </w:pPr>
            <w:r>
              <w:rPr>
                <w:rFonts w:ascii="宋体" w:hAnsi="宋体" w:eastAsia="宋体" w:cs="宋体"/>
                <w:color w:val="auto"/>
                <w:kern w:val="0"/>
                <w:sz w:val="24"/>
                <w:highlight w:val="none"/>
                <w:lang w:bidi="ar"/>
              </w:rPr>
              <w:t>评审项目</w:t>
            </w:r>
          </w:p>
        </w:tc>
        <w:tc>
          <w:tcPr>
            <w:tcW w:w="7460" w:type="dxa"/>
            <w:vMerge w:val="restart"/>
            <w:vAlign w:val="center"/>
          </w:tcPr>
          <w:p>
            <w:pPr>
              <w:widowControl/>
              <w:jc w:val="center"/>
              <w:rPr>
                <w:rFonts w:ascii="新宋体" w:hAnsi="新宋体" w:eastAsia="新宋体" w:cs="新宋体"/>
                <w:color w:val="auto"/>
                <w:kern w:val="0"/>
                <w:sz w:val="24"/>
                <w:highlight w:val="none"/>
                <w:lang w:bidi="ar"/>
              </w:rPr>
            </w:pPr>
            <w:r>
              <w:rPr>
                <w:rFonts w:ascii="宋体" w:hAnsi="宋体" w:eastAsia="宋体" w:cs="宋体"/>
                <w:color w:val="auto"/>
                <w:kern w:val="0"/>
                <w:sz w:val="24"/>
                <w:highlight w:val="none"/>
                <w:lang w:bidi="ar"/>
              </w:rPr>
              <w:t>评审内容</w:t>
            </w:r>
          </w:p>
        </w:tc>
        <w:tc>
          <w:tcPr>
            <w:tcW w:w="4950" w:type="dxa"/>
            <w:gridSpan w:val="6"/>
            <w:vAlign w:val="center"/>
          </w:tcPr>
          <w:p>
            <w:pPr>
              <w:widowControl/>
              <w:jc w:val="center"/>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eastAsia="zh-CN" w:bidi="ar"/>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02" w:type="dxa"/>
            <w:vMerge w:val="continue"/>
            <w:vAlign w:val="center"/>
          </w:tcPr>
          <w:p>
            <w:pPr>
              <w:widowControl/>
              <w:jc w:val="center"/>
              <w:rPr>
                <w:rFonts w:ascii="宋体" w:hAnsi="宋体" w:eastAsia="宋体" w:cs="宋体"/>
                <w:b/>
                <w:bCs/>
                <w:color w:val="auto"/>
                <w:kern w:val="0"/>
                <w:sz w:val="24"/>
                <w:highlight w:val="none"/>
                <w:lang w:bidi="ar"/>
              </w:rPr>
            </w:pPr>
          </w:p>
        </w:tc>
        <w:tc>
          <w:tcPr>
            <w:tcW w:w="1028" w:type="dxa"/>
            <w:vMerge w:val="continue"/>
            <w:vAlign w:val="center"/>
          </w:tcPr>
          <w:p>
            <w:pPr>
              <w:widowControl/>
              <w:jc w:val="center"/>
              <w:rPr>
                <w:rFonts w:ascii="宋体" w:hAnsi="宋体" w:eastAsia="宋体" w:cs="宋体"/>
                <w:b/>
                <w:bCs/>
                <w:color w:val="auto"/>
                <w:kern w:val="0"/>
                <w:sz w:val="24"/>
                <w:highlight w:val="none"/>
                <w:lang w:bidi="ar"/>
              </w:rPr>
            </w:pPr>
          </w:p>
        </w:tc>
        <w:tc>
          <w:tcPr>
            <w:tcW w:w="7460" w:type="dxa"/>
            <w:vMerge w:val="continue"/>
            <w:vAlign w:val="center"/>
          </w:tcPr>
          <w:p>
            <w:pPr>
              <w:widowControl/>
              <w:jc w:val="center"/>
              <w:rPr>
                <w:rFonts w:ascii="宋体" w:hAnsi="宋体" w:eastAsia="宋体" w:cs="宋体"/>
                <w:b/>
                <w:bCs/>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1</w:t>
            </w:r>
          </w:p>
        </w:tc>
        <w:tc>
          <w:tcPr>
            <w:tcW w:w="825" w:type="dxa"/>
            <w:vAlign w:val="center"/>
          </w:tcPr>
          <w:p>
            <w:pPr>
              <w:widowControl/>
              <w:jc w:val="center"/>
              <w:rPr>
                <w:rFonts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2</w:t>
            </w:r>
          </w:p>
        </w:tc>
        <w:tc>
          <w:tcPr>
            <w:tcW w:w="825" w:type="dxa"/>
            <w:vAlign w:val="center"/>
          </w:tcPr>
          <w:p>
            <w:pPr>
              <w:widowControl/>
              <w:jc w:val="center"/>
              <w:rPr>
                <w:rFonts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3</w:t>
            </w:r>
          </w:p>
        </w:tc>
        <w:tc>
          <w:tcPr>
            <w:tcW w:w="825" w:type="dxa"/>
            <w:vAlign w:val="center"/>
          </w:tcPr>
          <w:p>
            <w:pPr>
              <w:widowControl/>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4</w:t>
            </w:r>
          </w:p>
        </w:tc>
        <w:tc>
          <w:tcPr>
            <w:tcW w:w="825" w:type="dxa"/>
            <w:vAlign w:val="center"/>
          </w:tcPr>
          <w:p>
            <w:pPr>
              <w:widowControl/>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5</w:t>
            </w:r>
          </w:p>
        </w:tc>
        <w:tc>
          <w:tcPr>
            <w:tcW w:w="825" w:type="dxa"/>
            <w:vAlign w:val="center"/>
          </w:tcPr>
          <w:p>
            <w:pPr>
              <w:widowControl/>
              <w:jc w:val="center"/>
              <w:rPr>
                <w:rFonts w:hint="eastAsia" w:ascii="宋体" w:hAnsi="宋体" w:eastAsia="宋体" w:cs="宋体"/>
                <w:color w:val="auto"/>
                <w:kern w:val="0"/>
                <w:sz w:val="24"/>
                <w:highlight w:val="none"/>
                <w:lang w:bidi="ar"/>
              </w:rPr>
            </w:pPr>
            <w:r>
              <w:rPr>
                <w:rFonts w:hint="default" w:ascii="Arial" w:hAnsi="Arial" w:eastAsia="新宋体" w:cs="Arial"/>
                <w:b/>
                <w:bCs/>
                <w:color w:val="auto"/>
                <w:kern w:val="0"/>
                <w:sz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602"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w:t>
            </w:r>
          </w:p>
        </w:tc>
        <w:tc>
          <w:tcPr>
            <w:tcW w:w="1028" w:type="dxa"/>
            <w:vAlign w:val="center"/>
          </w:tcPr>
          <w:p>
            <w:pPr>
              <w:widowControl/>
              <w:jc w:val="center"/>
              <w:rPr>
                <w:rFonts w:ascii="宋体" w:hAnsi="宋体" w:eastAsia="宋体" w:cs="宋体"/>
                <w:color w:val="auto"/>
                <w:kern w:val="0"/>
                <w:sz w:val="24"/>
                <w:highlight w:val="none"/>
                <w:lang w:bidi="ar"/>
              </w:rPr>
            </w:pPr>
            <w:r>
              <w:rPr>
                <w:rFonts w:hint="eastAsia"/>
                <w:color w:val="auto"/>
                <w:highlight w:val="none"/>
              </w:rPr>
              <w:t>业绩</w:t>
            </w:r>
            <w:r>
              <w:rPr>
                <w:color w:val="auto"/>
                <w:highlight w:val="none"/>
              </w:rPr>
              <w:t>经验 (</w:t>
            </w:r>
            <w:r>
              <w:rPr>
                <w:rFonts w:hint="eastAsia"/>
                <w:color w:val="auto"/>
                <w:highlight w:val="none"/>
              </w:rPr>
              <w:t>1</w:t>
            </w:r>
            <w:r>
              <w:rPr>
                <w:rFonts w:hint="eastAsia"/>
                <w:color w:val="auto"/>
                <w:highlight w:val="none"/>
                <w:lang w:val="en-US" w:eastAsia="zh-CN"/>
              </w:rPr>
              <w:t>5</w:t>
            </w:r>
            <w:r>
              <w:rPr>
                <w:color w:val="auto"/>
                <w:highlight w:val="none"/>
              </w:rPr>
              <w:t>分)</w:t>
            </w:r>
          </w:p>
        </w:tc>
        <w:tc>
          <w:tcPr>
            <w:tcW w:w="7460" w:type="dxa"/>
            <w:vAlign w:val="center"/>
          </w:tcPr>
          <w:p>
            <w:pPr>
              <w:widowControl/>
              <w:jc w:val="left"/>
              <w:rPr>
                <w:color w:val="auto"/>
                <w:highlight w:val="none"/>
                <w:lang w:val="en-US" w:eastAsia="zh-CN"/>
              </w:rPr>
            </w:pPr>
            <w:r>
              <w:rPr>
                <w:rFonts w:hint="eastAsia"/>
                <w:color w:val="auto"/>
                <w:highlight w:val="none"/>
                <w:lang w:val="en-US" w:eastAsia="zh-CN"/>
              </w:rPr>
              <w:t>报价人自</w:t>
            </w:r>
            <w:r>
              <w:rPr>
                <w:color w:val="auto"/>
                <w:highlight w:val="none"/>
                <w:lang w:val="en-US" w:eastAsia="zh-CN"/>
              </w:rPr>
              <w:t>20</w:t>
            </w:r>
            <w:r>
              <w:rPr>
                <w:rFonts w:hint="eastAsia"/>
                <w:color w:val="auto"/>
                <w:highlight w:val="none"/>
                <w:lang w:val="en-US" w:eastAsia="zh-CN"/>
              </w:rPr>
              <w:t>20</w:t>
            </w:r>
            <w:r>
              <w:rPr>
                <w:color w:val="auto"/>
                <w:highlight w:val="none"/>
                <w:lang w:val="en-US" w:eastAsia="zh-CN"/>
              </w:rPr>
              <w:t>年1月1日至</w:t>
            </w:r>
            <w:r>
              <w:rPr>
                <w:rFonts w:hint="eastAsia"/>
                <w:color w:val="auto"/>
                <w:highlight w:val="none"/>
                <w:lang w:val="en-US" w:eastAsia="zh-CN"/>
              </w:rPr>
              <w:t>采购公告发布之日止承接过政府车辆维修保养年度业绩：</w:t>
            </w:r>
          </w:p>
          <w:p>
            <w:pPr>
              <w:widowControl/>
              <w:numPr>
                <w:ilvl w:val="0"/>
                <w:numId w:val="1"/>
              </w:numPr>
              <w:jc w:val="left"/>
              <w:rPr>
                <w:rFonts w:hint="eastAsia"/>
                <w:color w:val="auto"/>
                <w:highlight w:val="none"/>
                <w:lang w:val="en-US" w:eastAsia="zh-CN"/>
              </w:rPr>
            </w:pPr>
            <w:r>
              <w:rPr>
                <w:rFonts w:hint="eastAsia"/>
                <w:color w:val="auto"/>
                <w:highlight w:val="none"/>
                <w:lang w:val="en-US" w:eastAsia="zh-CN"/>
              </w:rPr>
              <w:t>单项合同一年服务金额35万元或以上的，每项得5分，最多得15分；</w:t>
            </w:r>
          </w:p>
          <w:p>
            <w:pPr>
              <w:widowControl/>
              <w:numPr>
                <w:ilvl w:val="0"/>
                <w:numId w:val="1"/>
              </w:numPr>
              <w:jc w:val="left"/>
              <w:rPr>
                <w:color w:val="auto"/>
                <w:highlight w:val="none"/>
                <w:lang w:val="en-US" w:eastAsia="zh-CN"/>
              </w:rPr>
            </w:pPr>
            <w:r>
              <w:rPr>
                <w:rFonts w:hint="eastAsia"/>
                <w:color w:val="auto"/>
                <w:highlight w:val="none"/>
                <w:lang w:val="en-US" w:eastAsia="zh-CN"/>
              </w:rPr>
              <w:t>单项合同一年服务金额35万元（不含）以下的，每项得2分，最多得8分；</w:t>
            </w:r>
            <w:r>
              <w:rPr>
                <w:color w:val="auto"/>
                <w:highlight w:val="none"/>
                <w:lang w:val="en-US" w:eastAsia="zh-CN"/>
              </w:rPr>
              <w:t xml:space="preserve"> </w:t>
            </w:r>
          </w:p>
          <w:p>
            <w:pPr>
              <w:widowControl/>
              <w:jc w:val="left"/>
              <w:rPr>
                <w:rFonts w:hint="eastAsia" w:eastAsiaTheme="minorEastAsia"/>
                <w:color w:val="auto"/>
                <w:highlight w:val="none"/>
                <w:lang w:eastAsia="zh-CN"/>
              </w:rPr>
            </w:pPr>
            <w:r>
              <w:rPr>
                <w:rFonts w:hint="eastAsia"/>
                <w:color w:val="auto"/>
                <w:highlight w:val="none"/>
                <w:lang w:eastAsia="zh-CN"/>
              </w:rPr>
              <w:t>（</w:t>
            </w:r>
            <w:r>
              <w:rPr>
                <w:color w:val="auto"/>
                <w:highlight w:val="none"/>
              </w:rPr>
              <w:t>注：</w:t>
            </w:r>
            <w:r>
              <w:rPr>
                <w:rFonts w:hint="eastAsia"/>
                <w:color w:val="auto"/>
                <w:highlight w:val="none"/>
                <w:lang w:val="en-US" w:eastAsia="zh-CN"/>
              </w:rPr>
              <w:t>1.</w:t>
            </w:r>
            <w:r>
              <w:rPr>
                <w:rFonts w:hint="eastAsia"/>
                <w:color w:val="auto"/>
                <w:highlight w:val="none"/>
                <w:lang w:eastAsia="zh-CN"/>
              </w:rPr>
              <w:t>年度</w:t>
            </w:r>
            <w:r>
              <w:rPr>
                <w:rFonts w:hint="eastAsia"/>
                <w:color w:val="auto"/>
                <w:highlight w:val="none"/>
              </w:rPr>
              <w:t>业绩</w:t>
            </w:r>
            <w:r>
              <w:rPr>
                <w:color w:val="auto"/>
                <w:highlight w:val="none"/>
              </w:rPr>
              <w:t>是</w:t>
            </w:r>
            <w:r>
              <w:rPr>
                <w:rFonts w:hint="eastAsia"/>
                <w:color w:val="auto"/>
                <w:highlight w:val="none"/>
              </w:rPr>
              <w:t>指签订了车辆年度</w:t>
            </w:r>
            <w:r>
              <w:rPr>
                <w:color w:val="auto"/>
                <w:highlight w:val="none"/>
              </w:rPr>
              <w:t>维修</w:t>
            </w:r>
            <w:r>
              <w:rPr>
                <w:rFonts w:hint="eastAsia"/>
                <w:color w:val="auto"/>
                <w:highlight w:val="none"/>
              </w:rPr>
              <w:t>合同</w:t>
            </w:r>
            <w:r>
              <w:rPr>
                <w:color w:val="auto"/>
                <w:highlight w:val="none"/>
              </w:rPr>
              <w:t>，需提供</w:t>
            </w:r>
            <w:r>
              <w:rPr>
                <w:rFonts w:hint="eastAsia"/>
                <w:color w:val="auto"/>
                <w:highlight w:val="none"/>
              </w:rPr>
              <w:t>关键信息页复印件</w:t>
            </w:r>
            <w:r>
              <w:rPr>
                <w:color w:val="auto"/>
                <w:highlight w:val="none"/>
              </w:rPr>
              <w:t>，否则业绩无效</w:t>
            </w:r>
            <w:r>
              <w:rPr>
                <w:rFonts w:hint="eastAsia"/>
                <w:color w:val="auto"/>
                <w:highlight w:val="none"/>
                <w:lang w:eastAsia="zh-CN"/>
              </w:rPr>
              <w:t>，</w:t>
            </w:r>
            <w:r>
              <w:rPr>
                <w:rFonts w:hint="eastAsia" w:ascii="新宋体" w:hAnsi="新宋体" w:eastAsia="新宋体" w:cs="新宋体"/>
                <w:b w:val="0"/>
                <w:bCs/>
                <w:color w:val="auto"/>
                <w:kern w:val="0"/>
                <w:sz w:val="21"/>
                <w:szCs w:val="21"/>
                <w:highlight w:val="none"/>
                <w:lang w:val="en-US" w:eastAsia="zh-CN"/>
              </w:rPr>
              <w:t>上述1、2项得分可累加，最多得15分。</w:t>
            </w:r>
            <w:r>
              <w:rPr>
                <w:rFonts w:hint="eastAsia"/>
                <w:color w:val="auto"/>
                <w:highlight w:val="none"/>
                <w:lang w:eastAsia="zh-CN"/>
              </w:rPr>
              <w:t>）</w:t>
            </w: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2" w:hRule="atLeast"/>
        </w:trPr>
        <w:tc>
          <w:tcPr>
            <w:tcW w:w="602"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2</w:t>
            </w:r>
          </w:p>
        </w:tc>
        <w:tc>
          <w:tcPr>
            <w:tcW w:w="1028" w:type="dxa"/>
            <w:vAlign w:val="center"/>
          </w:tcPr>
          <w:p>
            <w:pPr>
              <w:widowControl/>
              <w:jc w:val="center"/>
              <w:rPr>
                <w:color w:val="auto"/>
                <w:highlight w:val="none"/>
              </w:rPr>
            </w:pPr>
            <w:r>
              <w:rPr>
                <w:rFonts w:hint="eastAsia" w:ascii="宋体" w:hAnsi="宋体" w:eastAsia="宋体" w:cs="宋体"/>
                <w:color w:val="auto"/>
                <w:kern w:val="0"/>
                <w:szCs w:val="21"/>
                <w:highlight w:val="none"/>
                <w:lang w:bidi="ar"/>
              </w:rPr>
              <w:t>维修服务便利性</w:t>
            </w:r>
            <w:r>
              <w:rPr>
                <w:color w:val="auto"/>
                <w:highlight w:val="none"/>
              </w:rPr>
              <w:t>(</w:t>
            </w:r>
            <w:r>
              <w:rPr>
                <w:rFonts w:hint="eastAsia"/>
                <w:color w:val="auto"/>
                <w:highlight w:val="none"/>
                <w:lang w:val="en-US" w:eastAsia="zh-CN"/>
              </w:rPr>
              <w:t>10</w:t>
            </w:r>
            <w:r>
              <w:rPr>
                <w:color w:val="auto"/>
                <w:highlight w:val="none"/>
              </w:rPr>
              <w:t>分)</w:t>
            </w:r>
          </w:p>
        </w:tc>
        <w:tc>
          <w:tcPr>
            <w:tcW w:w="7460" w:type="dxa"/>
            <w:vAlign w:val="center"/>
          </w:tcPr>
          <w:p>
            <w:pPr>
              <w:widowControl/>
              <w:jc w:val="left"/>
              <w:rPr>
                <w:color w:val="auto"/>
                <w:highlight w:val="none"/>
              </w:rPr>
            </w:pPr>
            <w:r>
              <w:rPr>
                <w:color w:val="auto"/>
                <w:highlight w:val="none"/>
              </w:rPr>
              <w:t>定点维修服务场所与</w:t>
            </w:r>
            <w:r>
              <w:rPr>
                <w:rFonts w:hint="eastAsia"/>
                <w:color w:val="auto"/>
                <w:highlight w:val="none"/>
              </w:rPr>
              <w:t>对应</w:t>
            </w:r>
            <w:r>
              <w:rPr>
                <w:rFonts w:hint="eastAsia"/>
                <w:color w:val="auto"/>
                <w:highlight w:val="none"/>
                <w:lang w:eastAsia="zh-CN"/>
              </w:rPr>
              <w:t>标段</w:t>
            </w:r>
            <w:r>
              <w:rPr>
                <w:color w:val="auto"/>
                <w:highlight w:val="none"/>
              </w:rPr>
              <w:t>中任意三个的最短驾驶距离平均值在5公里（含）范围内，得</w:t>
            </w:r>
            <w:r>
              <w:rPr>
                <w:rFonts w:hint="eastAsia"/>
                <w:color w:val="auto"/>
                <w:highlight w:val="none"/>
                <w:lang w:val="en-US" w:eastAsia="zh-CN"/>
              </w:rPr>
              <w:t>10</w:t>
            </w:r>
            <w:r>
              <w:rPr>
                <w:color w:val="auto"/>
                <w:highlight w:val="none"/>
              </w:rPr>
              <w:t>分；在5-7公里范围内，得</w:t>
            </w:r>
            <w:r>
              <w:rPr>
                <w:rFonts w:hint="eastAsia"/>
                <w:color w:val="auto"/>
                <w:highlight w:val="none"/>
                <w:lang w:val="en-US" w:eastAsia="zh-CN"/>
              </w:rPr>
              <w:t>7</w:t>
            </w:r>
            <w:r>
              <w:rPr>
                <w:color w:val="auto"/>
                <w:highlight w:val="none"/>
              </w:rPr>
              <w:t>分；在7-10公里（含）范围内，得</w:t>
            </w:r>
            <w:r>
              <w:rPr>
                <w:rFonts w:hint="eastAsia"/>
                <w:color w:val="auto"/>
                <w:highlight w:val="none"/>
                <w:lang w:val="en-US" w:eastAsia="zh-CN"/>
              </w:rPr>
              <w:t>4</w:t>
            </w:r>
            <w:r>
              <w:rPr>
                <w:color w:val="auto"/>
                <w:highlight w:val="none"/>
              </w:rPr>
              <w:t>分，在10公里范围以外的，得</w:t>
            </w:r>
            <w:r>
              <w:rPr>
                <w:rFonts w:hint="eastAsia"/>
                <w:color w:val="auto"/>
                <w:highlight w:val="none"/>
                <w:lang w:val="en-US" w:eastAsia="zh-CN"/>
              </w:rPr>
              <w:t>2</w:t>
            </w:r>
            <w:r>
              <w:rPr>
                <w:color w:val="auto"/>
                <w:highlight w:val="none"/>
              </w:rPr>
              <w:t>分；不按要求填报距离信息并对应提供百度地图截图有效证明材料的，或所提供信息及证明材料不真实的，得0分</w:t>
            </w:r>
          </w:p>
          <w:p>
            <w:pPr>
              <w:widowControl/>
              <w:jc w:val="left"/>
              <w:rPr>
                <w:color w:val="auto"/>
                <w:highlight w:val="none"/>
              </w:rPr>
            </w:pPr>
            <w:r>
              <w:rPr>
                <w:color w:val="auto"/>
                <w:highlight w:val="none"/>
              </w:rPr>
              <w:t>（</w:t>
            </w:r>
            <w:r>
              <w:rPr>
                <w:rFonts w:hint="eastAsia"/>
                <w:color w:val="auto"/>
                <w:highlight w:val="none"/>
                <w:lang w:eastAsia="zh-CN"/>
              </w:rPr>
              <w:t>注：</w:t>
            </w:r>
            <w:r>
              <w:rPr>
                <w:color w:val="auto"/>
                <w:highlight w:val="none"/>
              </w:rPr>
              <w:t>最短驾车距离平均值参见《距离信息填报表》，最短驾车距离以百度地图查询截图作为证明材料。）</w:t>
            </w: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02"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3</w:t>
            </w:r>
          </w:p>
        </w:tc>
        <w:tc>
          <w:tcPr>
            <w:tcW w:w="1028" w:type="dxa"/>
            <w:vAlign w:val="center"/>
          </w:tcPr>
          <w:p>
            <w:pPr>
              <w:widowControl/>
              <w:jc w:val="center"/>
              <w:rPr>
                <w:color w:val="auto"/>
                <w:highlight w:val="none"/>
              </w:rPr>
            </w:pPr>
            <w:r>
              <w:rPr>
                <w:rFonts w:hint="eastAsia"/>
                <w:color w:val="auto"/>
                <w:highlight w:val="none"/>
                <w:lang w:eastAsia="zh-CN"/>
              </w:rPr>
              <w:t>报价人</w:t>
            </w:r>
            <w:r>
              <w:rPr>
                <w:color w:val="auto"/>
                <w:highlight w:val="none"/>
              </w:rPr>
              <w:t xml:space="preserve">管理水平 </w:t>
            </w:r>
          </w:p>
          <w:p>
            <w:pPr>
              <w:widowControl/>
              <w:jc w:val="center"/>
              <w:rPr>
                <w:rFonts w:ascii="宋体" w:hAnsi="宋体" w:eastAsia="宋体" w:cs="宋体"/>
                <w:color w:val="auto"/>
                <w:kern w:val="0"/>
                <w:sz w:val="24"/>
                <w:highlight w:val="none"/>
                <w:lang w:bidi="ar"/>
              </w:rPr>
            </w:pPr>
            <w:r>
              <w:rPr>
                <w:color w:val="auto"/>
                <w:highlight w:val="none"/>
              </w:rPr>
              <w:t>(</w:t>
            </w:r>
            <w:r>
              <w:rPr>
                <w:rFonts w:hint="eastAsia"/>
                <w:color w:val="auto"/>
                <w:highlight w:val="none"/>
              </w:rPr>
              <w:t>3</w:t>
            </w:r>
            <w:r>
              <w:rPr>
                <w:color w:val="auto"/>
                <w:highlight w:val="none"/>
              </w:rPr>
              <w:t>分)</w:t>
            </w:r>
          </w:p>
        </w:tc>
        <w:tc>
          <w:tcPr>
            <w:tcW w:w="7460" w:type="dxa"/>
            <w:vAlign w:val="center"/>
          </w:tcPr>
          <w:p>
            <w:pPr>
              <w:widowControl/>
              <w:jc w:val="left"/>
              <w:rPr>
                <w:color w:val="auto"/>
                <w:highlight w:val="none"/>
              </w:rPr>
            </w:pPr>
            <w:r>
              <w:rPr>
                <w:color w:val="auto"/>
                <w:highlight w:val="none"/>
              </w:rPr>
              <w:t>提供有效期内的质量管理体系认证、环境管理认证</w:t>
            </w:r>
            <w:r>
              <w:rPr>
                <w:rFonts w:hint="eastAsia"/>
                <w:color w:val="auto"/>
                <w:highlight w:val="none"/>
              </w:rPr>
              <w:t>、职业健康管理认证</w:t>
            </w:r>
            <w:r>
              <w:rPr>
                <w:color w:val="auto"/>
                <w:highlight w:val="none"/>
              </w:rPr>
              <w:t>证书，每一个得</w:t>
            </w:r>
            <w:r>
              <w:rPr>
                <w:rFonts w:hint="eastAsia"/>
                <w:color w:val="auto"/>
                <w:highlight w:val="none"/>
              </w:rPr>
              <w:t>1</w:t>
            </w:r>
            <w:r>
              <w:rPr>
                <w:color w:val="auto"/>
                <w:highlight w:val="none"/>
              </w:rPr>
              <w:t>分，最高得</w:t>
            </w:r>
            <w:r>
              <w:rPr>
                <w:rFonts w:hint="eastAsia"/>
                <w:color w:val="auto"/>
                <w:highlight w:val="none"/>
              </w:rPr>
              <w:t>3</w:t>
            </w:r>
            <w:r>
              <w:rPr>
                <w:color w:val="auto"/>
                <w:highlight w:val="none"/>
              </w:rPr>
              <w:t>分。</w:t>
            </w:r>
          </w:p>
          <w:p>
            <w:pPr>
              <w:widowControl/>
              <w:jc w:val="left"/>
              <w:rPr>
                <w:rFonts w:ascii="宋体" w:hAnsi="宋体" w:eastAsia="宋体" w:cs="宋体"/>
                <w:color w:val="auto"/>
                <w:kern w:val="0"/>
                <w:szCs w:val="21"/>
                <w:highlight w:val="none"/>
                <w:lang w:bidi="ar"/>
              </w:rPr>
            </w:pPr>
            <w:r>
              <w:rPr>
                <w:rFonts w:hint="eastAsia" w:ascii="宋体" w:hAnsi="宋体" w:cs="宋体"/>
                <w:color w:val="auto"/>
                <w:sz w:val="21"/>
                <w:szCs w:val="21"/>
                <w:lang w:val="en-US" w:eastAsia="zh-CN"/>
              </w:rPr>
              <w:t>(</w:t>
            </w:r>
            <w:r>
              <w:rPr>
                <w:rFonts w:hint="eastAsia" w:ascii="宋体" w:hAnsi="宋体" w:cs="宋体"/>
                <w:color w:val="auto"/>
                <w:sz w:val="21"/>
                <w:szCs w:val="21"/>
              </w:rPr>
              <w:t>注：提供有效的认证证书复印件加盖公章。</w:t>
            </w:r>
            <w:r>
              <w:rPr>
                <w:rFonts w:hint="eastAsia" w:ascii="宋体" w:hAnsi="宋体" w:cs="宋体"/>
                <w:color w:val="auto"/>
                <w:sz w:val="21"/>
                <w:szCs w:val="21"/>
                <w:lang w:val="en-US" w:eastAsia="zh-CN"/>
              </w:rPr>
              <w:t>)</w:t>
            </w: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602" w:type="dxa"/>
            <w:vAlign w:val="center"/>
          </w:tcPr>
          <w:p>
            <w:pPr>
              <w:jc w:val="center"/>
              <w:rPr>
                <w:rFonts w:hint="eastAsia" w:ascii="新宋体" w:hAnsi="新宋体" w:eastAsia="新宋体" w:cs="新宋体"/>
                <w:b/>
                <w:bCs/>
                <w:color w:val="auto"/>
                <w:kern w:val="0"/>
                <w:sz w:val="24"/>
                <w:highlight w:val="none"/>
                <w:lang w:val="en-US" w:eastAsia="zh-CN" w:bidi="ar"/>
              </w:rPr>
            </w:pPr>
            <w:r>
              <w:rPr>
                <w:rFonts w:hint="eastAsia" w:ascii="新宋体" w:hAnsi="新宋体" w:eastAsia="新宋体" w:cs="新宋体"/>
                <w:b/>
                <w:bCs/>
                <w:color w:val="auto"/>
                <w:kern w:val="0"/>
                <w:sz w:val="24"/>
                <w:highlight w:val="none"/>
                <w:lang w:val="en-US" w:eastAsia="zh-CN" w:bidi="ar"/>
              </w:rPr>
              <w:t>4</w:t>
            </w:r>
          </w:p>
        </w:tc>
        <w:tc>
          <w:tcPr>
            <w:tcW w:w="1028" w:type="dxa"/>
            <w:vAlign w:val="center"/>
          </w:tcPr>
          <w:p>
            <w:pPr>
              <w:widowControl/>
              <w:jc w:val="center"/>
              <w:rPr>
                <w:color w:val="auto"/>
                <w:highlight w:val="none"/>
              </w:rPr>
            </w:pPr>
            <w:r>
              <w:rPr>
                <w:rFonts w:hint="eastAsia"/>
                <w:color w:val="auto"/>
                <w:highlight w:val="none"/>
                <w:lang w:eastAsia="zh-CN"/>
              </w:rPr>
              <w:t>报价人</w:t>
            </w:r>
            <w:r>
              <w:rPr>
                <w:color w:val="auto"/>
                <w:highlight w:val="none"/>
              </w:rPr>
              <w:t>信誉</w:t>
            </w:r>
          </w:p>
          <w:p>
            <w:pPr>
              <w:widowControl/>
              <w:jc w:val="center"/>
              <w:rPr>
                <w:rFonts w:ascii="宋体" w:hAnsi="宋体" w:eastAsia="宋体" w:cs="宋体"/>
                <w:color w:val="auto"/>
                <w:kern w:val="0"/>
                <w:sz w:val="24"/>
                <w:highlight w:val="none"/>
                <w:lang w:bidi="ar"/>
              </w:rPr>
            </w:pPr>
            <w:r>
              <w:rPr>
                <w:color w:val="auto"/>
                <w:highlight w:val="none"/>
              </w:rPr>
              <w:t xml:space="preserve"> (</w:t>
            </w:r>
            <w:r>
              <w:rPr>
                <w:rFonts w:hint="eastAsia"/>
                <w:color w:val="auto"/>
                <w:highlight w:val="none"/>
                <w:lang w:val="en-US" w:eastAsia="zh-CN"/>
              </w:rPr>
              <w:t>3</w:t>
            </w:r>
            <w:r>
              <w:rPr>
                <w:color w:val="auto"/>
                <w:highlight w:val="none"/>
              </w:rPr>
              <w:t>分)</w:t>
            </w:r>
          </w:p>
        </w:tc>
        <w:tc>
          <w:tcPr>
            <w:tcW w:w="7460" w:type="dxa"/>
            <w:vAlign w:val="center"/>
          </w:tcPr>
          <w:p>
            <w:pPr>
              <w:widowControl/>
              <w:jc w:val="left"/>
              <w:rPr>
                <w:color w:val="auto"/>
                <w:highlight w:val="none"/>
              </w:rPr>
            </w:pPr>
            <w:r>
              <w:rPr>
                <w:color w:val="auto"/>
                <w:highlight w:val="none"/>
              </w:rPr>
              <w:t>20</w:t>
            </w:r>
            <w:r>
              <w:rPr>
                <w:rFonts w:hint="eastAsia"/>
                <w:color w:val="auto"/>
                <w:highlight w:val="none"/>
              </w:rPr>
              <w:t>18</w:t>
            </w:r>
            <w:r>
              <w:rPr>
                <w:color w:val="auto"/>
                <w:highlight w:val="none"/>
              </w:rPr>
              <w:t>年1月1日至今</w:t>
            </w:r>
            <w:r>
              <w:rPr>
                <w:rFonts w:hint="eastAsia"/>
                <w:color w:val="auto"/>
                <w:highlight w:val="none"/>
                <w:lang w:eastAsia="zh-CN"/>
              </w:rPr>
              <w:t>报价人</w:t>
            </w:r>
            <w:r>
              <w:rPr>
                <w:color w:val="auto"/>
                <w:highlight w:val="none"/>
              </w:rPr>
              <w:t>获得机动车维修行业协会的诚信优质服务单位或诚信企业，每一个得</w:t>
            </w:r>
            <w:r>
              <w:rPr>
                <w:rFonts w:hint="eastAsia"/>
                <w:color w:val="auto"/>
                <w:highlight w:val="none"/>
              </w:rPr>
              <w:t>1</w:t>
            </w:r>
            <w:r>
              <w:rPr>
                <w:color w:val="auto"/>
                <w:highlight w:val="none"/>
              </w:rPr>
              <w:t>分，最高得</w:t>
            </w:r>
            <w:r>
              <w:rPr>
                <w:rFonts w:hint="eastAsia"/>
                <w:color w:val="auto"/>
                <w:highlight w:val="none"/>
                <w:lang w:val="en-US" w:eastAsia="zh-CN"/>
              </w:rPr>
              <w:t>3</w:t>
            </w:r>
            <w:r>
              <w:rPr>
                <w:color w:val="auto"/>
                <w:highlight w:val="none"/>
              </w:rPr>
              <w:t>分；</w:t>
            </w:r>
          </w:p>
          <w:p>
            <w:pPr>
              <w:widowControl/>
              <w:jc w:val="left"/>
              <w:rPr>
                <w:rFonts w:ascii="宋体" w:hAnsi="宋体" w:eastAsia="宋体" w:cs="宋体"/>
                <w:color w:val="auto"/>
                <w:kern w:val="0"/>
                <w:szCs w:val="21"/>
                <w:highlight w:val="none"/>
                <w:lang w:bidi="ar"/>
              </w:rPr>
            </w:pPr>
            <w:r>
              <w:rPr>
                <w:color w:val="auto"/>
                <w:highlight w:val="none"/>
              </w:rPr>
              <w:t>（注：诚信优质服务单位或诚信企业须提供机动车维修行业协会网站公示名单截图或提供证书扫描件。）</w:t>
            </w: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02" w:type="dxa"/>
            <w:vAlign w:val="center"/>
          </w:tcPr>
          <w:p>
            <w:pPr>
              <w:jc w:val="center"/>
              <w:rPr>
                <w:rFonts w:hint="eastAsia" w:ascii="新宋体" w:hAnsi="新宋体" w:eastAsia="新宋体" w:cs="新宋体"/>
                <w:b/>
                <w:bCs/>
                <w:color w:val="auto"/>
                <w:kern w:val="0"/>
                <w:sz w:val="24"/>
                <w:highlight w:val="none"/>
                <w:lang w:val="en-US" w:eastAsia="zh-CN" w:bidi="ar"/>
              </w:rPr>
            </w:pPr>
            <w:r>
              <w:rPr>
                <w:rFonts w:hint="eastAsia" w:ascii="新宋体" w:hAnsi="新宋体" w:eastAsia="新宋体" w:cs="新宋体"/>
                <w:b/>
                <w:bCs/>
                <w:color w:val="auto"/>
                <w:kern w:val="0"/>
                <w:sz w:val="24"/>
                <w:highlight w:val="none"/>
                <w:lang w:val="en-US" w:eastAsia="zh-CN" w:bidi="ar"/>
              </w:rPr>
              <w:t>5</w:t>
            </w:r>
          </w:p>
        </w:tc>
        <w:tc>
          <w:tcPr>
            <w:tcW w:w="1028" w:type="dxa"/>
            <w:vAlign w:val="center"/>
          </w:tcPr>
          <w:p>
            <w:pPr>
              <w:widowControl/>
              <w:jc w:val="center"/>
              <w:rPr>
                <w:rFonts w:ascii="宋体" w:hAnsi="宋体" w:eastAsia="宋体" w:cs="宋体"/>
                <w:color w:val="auto"/>
                <w:kern w:val="0"/>
                <w:sz w:val="24"/>
                <w:highlight w:val="none"/>
                <w:lang w:bidi="ar"/>
              </w:rPr>
            </w:pPr>
            <w:r>
              <w:rPr>
                <w:color w:val="auto"/>
                <w:highlight w:val="none"/>
              </w:rPr>
              <w:t>拟投入本项目维修设备情况 (</w:t>
            </w:r>
            <w:r>
              <w:rPr>
                <w:rFonts w:hint="eastAsia"/>
                <w:color w:val="auto"/>
                <w:highlight w:val="none"/>
                <w:lang w:val="en-US" w:eastAsia="zh-CN"/>
              </w:rPr>
              <w:t>9</w:t>
            </w:r>
            <w:r>
              <w:rPr>
                <w:color w:val="auto"/>
                <w:highlight w:val="none"/>
              </w:rPr>
              <w:t>分)</w:t>
            </w:r>
          </w:p>
        </w:tc>
        <w:tc>
          <w:tcPr>
            <w:tcW w:w="7460" w:type="dxa"/>
            <w:vAlign w:val="center"/>
          </w:tcPr>
          <w:p>
            <w:pPr>
              <w:widowControl/>
              <w:jc w:val="left"/>
              <w:rPr>
                <w:color w:val="auto"/>
                <w:highlight w:val="none"/>
              </w:rPr>
            </w:pPr>
            <w:r>
              <w:rPr>
                <w:rFonts w:hint="eastAsia"/>
                <w:color w:val="auto"/>
                <w:highlight w:val="none"/>
                <w:lang w:val="en-US" w:eastAsia="zh-CN"/>
              </w:rPr>
              <w:t>1</w:t>
            </w:r>
            <w:r>
              <w:rPr>
                <w:color w:val="auto"/>
                <w:highlight w:val="none"/>
              </w:rPr>
              <w:t>.具有汽车举升机或具有安全逃生通道的地沟，8个或以上得</w:t>
            </w:r>
            <w:r>
              <w:rPr>
                <w:rFonts w:hint="eastAsia"/>
                <w:color w:val="auto"/>
                <w:highlight w:val="none"/>
              </w:rPr>
              <w:t>4</w:t>
            </w:r>
            <w:r>
              <w:rPr>
                <w:color w:val="auto"/>
                <w:highlight w:val="none"/>
              </w:rPr>
              <w:t>分，5-7个得</w:t>
            </w:r>
            <w:r>
              <w:rPr>
                <w:rFonts w:hint="eastAsia"/>
                <w:color w:val="auto"/>
                <w:highlight w:val="none"/>
              </w:rPr>
              <w:t>2</w:t>
            </w:r>
            <w:r>
              <w:rPr>
                <w:color w:val="auto"/>
                <w:highlight w:val="none"/>
              </w:rPr>
              <w:t>分，1-4个得1分，无得0分；</w:t>
            </w:r>
          </w:p>
          <w:p>
            <w:pPr>
              <w:widowControl/>
              <w:jc w:val="left"/>
              <w:rPr>
                <w:color w:val="auto"/>
                <w:highlight w:val="none"/>
              </w:rPr>
            </w:pPr>
            <w:r>
              <w:rPr>
                <w:rFonts w:hint="eastAsia"/>
                <w:color w:val="auto"/>
                <w:highlight w:val="none"/>
                <w:lang w:val="en-US" w:eastAsia="zh-CN"/>
              </w:rPr>
              <w:t>2</w:t>
            </w:r>
            <w:r>
              <w:rPr>
                <w:color w:val="auto"/>
                <w:highlight w:val="none"/>
              </w:rPr>
              <w:t>.停车位情况：可同时停靠5座(或以上)车辆15辆(或以上)得3分，10-14辆得2分，1-9辆得1分；无得0分；</w:t>
            </w:r>
          </w:p>
          <w:p>
            <w:pPr>
              <w:widowControl/>
              <w:jc w:val="left"/>
              <w:rPr>
                <w:color w:val="auto"/>
                <w:highlight w:val="none"/>
              </w:rPr>
            </w:pPr>
            <w:r>
              <w:rPr>
                <w:rFonts w:hint="eastAsia"/>
                <w:color w:val="auto"/>
                <w:highlight w:val="none"/>
                <w:lang w:val="en-US" w:eastAsia="zh-CN"/>
              </w:rPr>
              <w:t>3</w:t>
            </w:r>
            <w:r>
              <w:rPr>
                <w:color w:val="auto"/>
                <w:highlight w:val="none"/>
              </w:rPr>
              <w:t>.配备有车辆救援的专用设备及车辆，每提供一套设备及车辆得1分，最高得</w:t>
            </w:r>
            <w:r>
              <w:rPr>
                <w:rFonts w:hint="eastAsia"/>
                <w:color w:val="auto"/>
                <w:highlight w:val="none"/>
              </w:rPr>
              <w:t>2</w:t>
            </w:r>
            <w:r>
              <w:rPr>
                <w:color w:val="auto"/>
                <w:highlight w:val="none"/>
              </w:rPr>
              <w:t>分。</w:t>
            </w:r>
          </w:p>
          <w:p>
            <w:pPr>
              <w:widowControl/>
              <w:jc w:val="left"/>
              <w:rPr>
                <w:rFonts w:hint="eastAsia" w:ascii="宋体" w:hAnsi="宋体" w:cs="宋体" w:eastAsiaTheme="minorEastAsia"/>
                <w:color w:val="auto"/>
                <w:kern w:val="0"/>
                <w:szCs w:val="21"/>
                <w:highlight w:val="none"/>
                <w:lang w:eastAsia="zh-CN" w:bidi="ar"/>
              </w:rPr>
            </w:pPr>
            <w:r>
              <w:rPr>
                <w:rFonts w:hint="eastAsia"/>
                <w:color w:val="auto"/>
                <w:highlight w:val="none"/>
                <w:lang w:eastAsia="zh-CN"/>
              </w:rPr>
              <w:t>（注：</w:t>
            </w:r>
            <w:r>
              <w:rPr>
                <w:color w:val="auto"/>
                <w:highlight w:val="none"/>
              </w:rPr>
              <w:t>以上评分项须提供维修机构现场实物、实景照片作为证明材料或提供承诺函。</w:t>
            </w:r>
            <w:r>
              <w:rPr>
                <w:rFonts w:hint="eastAsia"/>
                <w:color w:val="auto"/>
                <w:highlight w:val="none"/>
                <w:lang w:eastAsia="zh-CN"/>
              </w:rPr>
              <w:t>）</w:t>
            </w: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c>
          <w:tcPr>
            <w:tcW w:w="825"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90" w:type="dxa"/>
            <w:gridSpan w:val="3"/>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 w:val="24"/>
                <w:highlight w:val="none"/>
                <w:lang w:bidi="ar"/>
              </w:rPr>
              <w:t>合计</w:t>
            </w:r>
          </w:p>
        </w:tc>
        <w:tc>
          <w:tcPr>
            <w:tcW w:w="825" w:type="dxa"/>
            <w:vAlign w:val="center"/>
          </w:tcPr>
          <w:p>
            <w:pPr>
              <w:widowControl/>
              <w:jc w:val="center"/>
              <w:rPr>
                <w:rFonts w:ascii="新宋体" w:hAnsi="新宋体" w:eastAsia="新宋体" w:cs="新宋体"/>
                <w:b/>
                <w:bCs/>
                <w:color w:val="auto"/>
                <w:kern w:val="0"/>
                <w:sz w:val="24"/>
                <w:highlight w:val="none"/>
                <w:lang w:bidi="ar"/>
              </w:rPr>
            </w:pPr>
          </w:p>
        </w:tc>
        <w:tc>
          <w:tcPr>
            <w:tcW w:w="825" w:type="dxa"/>
            <w:vAlign w:val="center"/>
          </w:tcPr>
          <w:p>
            <w:pPr>
              <w:widowControl/>
              <w:jc w:val="center"/>
              <w:rPr>
                <w:rFonts w:ascii="新宋体" w:hAnsi="新宋体" w:eastAsia="新宋体" w:cs="新宋体"/>
                <w:b/>
                <w:bCs/>
                <w:color w:val="auto"/>
                <w:kern w:val="0"/>
                <w:sz w:val="24"/>
                <w:highlight w:val="none"/>
                <w:lang w:bidi="ar"/>
              </w:rPr>
            </w:pPr>
          </w:p>
        </w:tc>
        <w:tc>
          <w:tcPr>
            <w:tcW w:w="825" w:type="dxa"/>
            <w:vAlign w:val="center"/>
          </w:tcPr>
          <w:p>
            <w:pPr>
              <w:widowControl/>
              <w:jc w:val="center"/>
              <w:rPr>
                <w:rFonts w:ascii="新宋体" w:hAnsi="新宋体" w:eastAsia="新宋体" w:cs="新宋体"/>
                <w:b/>
                <w:bCs/>
                <w:color w:val="auto"/>
                <w:kern w:val="0"/>
                <w:sz w:val="24"/>
                <w:highlight w:val="none"/>
                <w:lang w:bidi="ar"/>
              </w:rPr>
            </w:pPr>
          </w:p>
        </w:tc>
        <w:tc>
          <w:tcPr>
            <w:tcW w:w="825" w:type="dxa"/>
            <w:vAlign w:val="center"/>
          </w:tcPr>
          <w:p>
            <w:pPr>
              <w:widowControl/>
              <w:jc w:val="center"/>
              <w:rPr>
                <w:rFonts w:ascii="新宋体" w:hAnsi="新宋体" w:eastAsia="新宋体" w:cs="新宋体"/>
                <w:b/>
                <w:bCs/>
                <w:color w:val="auto"/>
                <w:kern w:val="0"/>
                <w:sz w:val="24"/>
                <w:highlight w:val="none"/>
                <w:lang w:bidi="ar"/>
              </w:rPr>
            </w:pPr>
          </w:p>
        </w:tc>
        <w:tc>
          <w:tcPr>
            <w:tcW w:w="825" w:type="dxa"/>
            <w:vAlign w:val="center"/>
          </w:tcPr>
          <w:p>
            <w:pPr>
              <w:widowControl/>
              <w:jc w:val="center"/>
              <w:rPr>
                <w:rFonts w:ascii="新宋体" w:hAnsi="新宋体" w:eastAsia="新宋体" w:cs="新宋体"/>
                <w:b/>
                <w:bCs/>
                <w:color w:val="auto"/>
                <w:kern w:val="0"/>
                <w:sz w:val="24"/>
                <w:highlight w:val="none"/>
                <w:lang w:bidi="ar"/>
              </w:rPr>
            </w:pPr>
          </w:p>
        </w:tc>
        <w:tc>
          <w:tcPr>
            <w:tcW w:w="825" w:type="dxa"/>
            <w:vAlign w:val="center"/>
          </w:tcPr>
          <w:p>
            <w:pPr>
              <w:widowControl/>
              <w:jc w:val="center"/>
              <w:rPr>
                <w:rFonts w:ascii="新宋体" w:hAnsi="新宋体" w:eastAsia="新宋体" w:cs="新宋体"/>
                <w:b/>
                <w:bCs/>
                <w:color w:val="auto"/>
                <w:kern w:val="0"/>
                <w:sz w:val="24"/>
                <w:highlight w:val="none"/>
                <w:lang w:bidi="ar"/>
              </w:rPr>
            </w:pPr>
          </w:p>
        </w:tc>
      </w:tr>
    </w:tbl>
    <w:p>
      <w:pPr>
        <w:rPr>
          <w:rFonts w:ascii="宋体" w:hAnsi="宋体" w:eastAsia="宋体" w:cs="宋体"/>
          <w:color w:val="auto"/>
          <w:kern w:val="0"/>
          <w:szCs w:val="21"/>
          <w:highlight w:val="none"/>
          <w:lang w:bidi="ar"/>
        </w:rPr>
      </w:pPr>
    </w:p>
    <w:p>
      <w:pPr>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注：</w:t>
      </w:r>
      <w:r>
        <w:rPr>
          <w:color w:val="auto"/>
          <w:highlight w:val="none"/>
        </w:rPr>
        <w:t>分支机构</w:t>
      </w:r>
      <w:r>
        <w:rPr>
          <w:rFonts w:hint="eastAsia"/>
          <w:color w:val="auto"/>
          <w:highlight w:val="none"/>
        </w:rPr>
        <w:t>响应报价</w:t>
      </w:r>
      <w:r>
        <w:rPr>
          <w:color w:val="auto"/>
          <w:highlight w:val="none"/>
        </w:rPr>
        <w:t>的，总公司（总所）业绩可纳入评审</w:t>
      </w:r>
      <w:r>
        <w:rPr>
          <w:rFonts w:hint="eastAsia"/>
          <w:color w:val="auto"/>
          <w:highlight w:val="none"/>
        </w:rPr>
        <w:t>，</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须提供服务方案和相关证明材料。</w:t>
      </w:r>
    </w:p>
    <w:p>
      <w:pPr>
        <w:rPr>
          <w:rFonts w:hint="eastAsia" w:ascii="宋体" w:hAnsi="宋体" w:eastAsia="宋体" w:cs="宋体"/>
          <w:color w:val="auto"/>
          <w:kern w:val="0"/>
          <w:szCs w:val="21"/>
          <w:highlight w:val="none"/>
          <w:lang w:bidi="ar"/>
        </w:rPr>
      </w:pPr>
    </w:p>
    <w:p>
      <w:pPr>
        <w:rPr>
          <w:rFonts w:hint="eastAsia" w:ascii="宋体" w:hAnsi="宋体" w:eastAsia="宋体" w:cs="宋体"/>
          <w:bCs/>
          <w:color w:val="auto"/>
          <w:highlight w:val="none"/>
        </w:rPr>
      </w:pPr>
    </w:p>
    <w:p>
      <w:pPr>
        <w:rPr>
          <w:rFonts w:hint="eastAsia" w:ascii="宋体" w:hAnsi="宋体" w:eastAsia="宋体" w:cs="宋体"/>
          <w:bCs/>
          <w:color w:val="auto"/>
          <w:highlight w:val="none"/>
        </w:rPr>
      </w:pPr>
    </w:p>
    <w:p>
      <w:pPr>
        <w:rPr>
          <w:rFonts w:hint="eastAsia" w:ascii="宋体" w:hAnsi="宋体" w:eastAsia="宋体" w:cs="宋体"/>
          <w:bCs/>
          <w:color w:val="auto"/>
          <w:highlight w:val="none"/>
        </w:rPr>
      </w:pPr>
    </w:p>
    <w:p>
      <w:pPr>
        <w:rPr>
          <w:rFonts w:hint="eastAsia" w:ascii="宋体" w:hAnsi="宋体" w:eastAsia="宋体" w:cs="宋体"/>
          <w:bCs/>
          <w:color w:val="auto"/>
          <w:highlight w:val="none"/>
        </w:rPr>
      </w:pPr>
    </w:p>
    <w:p>
      <w:pPr>
        <w:jc w:val="left"/>
        <w:rPr>
          <w:rFonts w:hint="eastAsia" w:ascii="宋体" w:hAnsi="宋体" w:eastAsia="宋体" w:cs="宋体"/>
          <w:bCs/>
          <w:color w:val="auto"/>
          <w:highlight w:val="none"/>
        </w:rPr>
      </w:pPr>
      <w:r>
        <w:rPr>
          <w:rFonts w:hint="eastAsia" w:ascii="宋体" w:hAnsi="宋体" w:eastAsia="宋体" w:cs="宋体"/>
          <w:bCs/>
          <w:color w:val="auto"/>
          <w:highlight w:val="none"/>
        </w:rPr>
        <w:t>评委签名：</w:t>
      </w:r>
    </w:p>
    <w:p>
      <w:pPr>
        <w:jc w:val="center"/>
        <w:rPr>
          <w:color w:val="auto"/>
          <w:highlight w:val="none"/>
        </w:rPr>
      </w:pPr>
      <w:r>
        <w:rPr>
          <w:rFonts w:hint="eastAsia" w:ascii="新宋体" w:hAnsi="新宋体" w:eastAsia="新宋体" w:cs="新宋体"/>
          <w:b/>
          <w:bCs/>
          <w:color w:val="auto"/>
          <w:kern w:val="0"/>
          <w:sz w:val="24"/>
          <w:highlight w:val="none"/>
          <w:lang w:bidi="ar"/>
        </w:rPr>
        <w:br w:type="page"/>
      </w:r>
      <w:r>
        <w:rPr>
          <w:rFonts w:hint="eastAsia" w:ascii="新宋体" w:hAnsi="新宋体" w:eastAsia="新宋体" w:cs="新宋体"/>
          <w:b/>
          <w:bCs/>
          <w:color w:val="auto"/>
          <w:kern w:val="0"/>
          <w:sz w:val="30"/>
          <w:szCs w:val="30"/>
          <w:highlight w:val="none"/>
          <w:lang w:bidi="ar"/>
        </w:rPr>
        <w:t xml:space="preserve">附表三 </w:t>
      </w:r>
      <w:r>
        <w:rPr>
          <w:rFonts w:hint="eastAsia" w:ascii="新宋体" w:hAnsi="新宋体" w:eastAsia="新宋体" w:cs="新宋体"/>
          <w:b/>
          <w:bCs/>
          <w:color w:val="auto"/>
          <w:kern w:val="0"/>
          <w:sz w:val="30"/>
          <w:szCs w:val="30"/>
          <w:highlight w:val="none"/>
          <w:lang w:val="en-US" w:eastAsia="zh-CN" w:bidi="ar"/>
        </w:rPr>
        <w:t xml:space="preserve"> </w:t>
      </w:r>
      <w:r>
        <w:rPr>
          <w:rFonts w:hint="eastAsia" w:ascii="新宋体" w:hAnsi="新宋体" w:eastAsia="新宋体" w:cs="新宋体"/>
          <w:b/>
          <w:bCs/>
          <w:color w:val="auto"/>
          <w:kern w:val="0"/>
          <w:sz w:val="30"/>
          <w:szCs w:val="30"/>
          <w:highlight w:val="none"/>
          <w:lang w:bidi="ar"/>
        </w:rPr>
        <w:t>技术部分评审表</w:t>
      </w:r>
      <w:r>
        <w:rPr>
          <w:rFonts w:hint="eastAsia" w:ascii="新宋体" w:hAnsi="新宋体" w:eastAsia="新宋体" w:cs="新宋体"/>
          <w:b/>
          <w:bCs/>
          <w:color w:val="auto"/>
          <w:kern w:val="0"/>
          <w:sz w:val="30"/>
          <w:szCs w:val="30"/>
          <w:highlight w:val="none"/>
          <w:lang w:eastAsia="zh-CN" w:bidi="ar"/>
        </w:rPr>
        <w:t>（</w:t>
      </w:r>
      <w:r>
        <w:rPr>
          <w:rFonts w:hint="eastAsia" w:ascii="新宋体" w:hAnsi="新宋体" w:eastAsia="新宋体" w:cs="新宋体"/>
          <w:b/>
          <w:bCs/>
          <w:color w:val="auto"/>
          <w:kern w:val="0"/>
          <w:sz w:val="30"/>
          <w:szCs w:val="30"/>
          <w:highlight w:val="none"/>
          <w:lang w:val="en-US" w:eastAsia="zh-CN" w:bidi="ar"/>
        </w:rPr>
        <w:t>40分</w:t>
      </w:r>
      <w:r>
        <w:rPr>
          <w:rFonts w:hint="eastAsia" w:ascii="新宋体" w:hAnsi="新宋体" w:eastAsia="新宋体" w:cs="新宋体"/>
          <w:b/>
          <w:bCs/>
          <w:color w:val="auto"/>
          <w:kern w:val="0"/>
          <w:sz w:val="30"/>
          <w:szCs w:val="30"/>
          <w:highlight w:val="none"/>
          <w:lang w:eastAsia="zh-CN" w:bidi="ar"/>
        </w:rPr>
        <w:t>）</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69"/>
        <w:gridCol w:w="1425"/>
        <w:gridCol w:w="7242"/>
        <w:gridCol w:w="817"/>
        <w:gridCol w:w="817"/>
        <w:gridCol w:w="817"/>
        <w:gridCol w:w="817"/>
        <w:gridCol w:w="817"/>
        <w:gridCol w:w="82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2" w:hRule="atLeast"/>
        </w:trPr>
        <w:tc>
          <w:tcPr>
            <w:tcW w:w="469" w:type="dxa"/>
            <w:vMerge w:val="restart"/>
            <w:vAlign w:val="center"/>
          </w:tcPr>
          <w:p>
            <w:pPr>
              <w:jc w:val="center"/>
              <w:rPr>
                <w:color w:val="auto"/>
                <w:highlight w:val="none"/>
              </w:rPr>
            </w:pPr>
            <w:r>
              <w:rPr>
                <w:rFonts w:hint="eastAsia"/>
                <w:color w:val="auto"/>
                <w:highlight w:val="none"/>
              </w:rPr>
              <w:t>序号</w:t>
            </w:r>
          </w:p>
        </w:tc>
        <w:tc>
          <w:tcPr>
            <w:tcW w:w="1425" w:type="dxa"/>
            <w:vMerge w:val="restart"/>
            <w:vAlign w:val="center"/>
          </w:tcPr>
          <w:p>
            <w:pPr>
              <w:jc w:val="center"/>
              <w:rPr>
                <w:color w:val="auto"/>
                <w:highlight w:val="none"/>
              </w:rPr>
            </w:pPr>
            <w:r>
              <w:rPr>
                <w:rFonts w:ascii="宋体" w:hAnsi="宋体" w:eastAsia="宋体" w:cs="宋体"/>
                <w:color w:val="auto"/>
                <w:kern w:val="0"/>
                <w:sz w:val="24"/>
                <w:highlight w:val="none"/>
                <w:lang w:bidi="ar"/>
              </w:rPr>
              <w:t>评审项目</w:t>
            </w:r>
          </w:p>
        </w:tc>
        <w:tc>
          <w:tcPr>
            <w:tcW w:w="7242" w:type="dxa"/>
            <w:vMerge w:val="restart"/>
            <w:vAlign w:val="center"/>
          </w:tcPr>
          <w:p>
            <w:pPr>
              <w:jc w:val="center"/>
              <w:rPr>
                <w:color w:val="auto"/>
                <w:highlight w:val="none"/>
              </w:rPr>
            </w:pPr>
            <w:r>
              <w:rPr>
                <w:rFonts w:ascii="宋体" w:hAnsi="宋体" w:eastAsia="宋体" w:cs="宋体"/>
                <w:color w:val="auto"/>
                <w:kern w:val="0"/>
                <w:sz w:val="24"/>
                <w:highlight w:val="none"/>
                <w:lang w:bidi="ar"/>
              </w:rPr>
              <w:t>评审内容</w:t>
            </w:r>
          </w:p>
        </w:tc>
        <w:tc>
          <w:tcPr>
            <w:tcW w:w="4905" w:type="dxa"/>
            <w:gridSpan w:val="6"/>
            <w:vAlign w:val="center"/>
          </w:tcPr>
          <w:p>
            <w:pPr>
              <w:jc w:val="center"/>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7" w:hRule="atLeast"/>
        </w:trPr>
        <w:tc>
          <w:tcPr>
            <w:tcW w:w="469" w:type="dxa"/>
            <w:vMerge w:val="continue"/>
            <w:tcBorders>
              <w:bottom w:val="single" w:color="auto" w:sz="4" w:space="0"/>
            </w:tcBorders>
            <w:vAlign w:val="center"/>
          </w:tcPr>
          <w:p>
            <w:pPr>
              <w:jc w:val="center"/>
              <w:rPr>
                <w:color w:val="auto"/>
                <w:highlight w:val="none"/>
              </w:rPr>
            </w:pPr>
          </w:p>
        </w:tc>
        <w:tc>
          <w:tcPr>
            <w:tcW w:w="1425" w:type="dxa"/>
            <w:vMerge w:val="continue"/>
            <w:tcBorders>
              <w:bottom w:val="single" w:color="auto" w:sz="4" w:space="0"/>
            </w:tcBorders>
            <w:vAlign w:val="center"/>
          </w:tcPr>
          <w:p>
            <w:pPr>
              <w:jc w:val="center"/>
              <w:rPr>
                <w:color w:val="auto"/>
                <w:highlight w:val="none"/>
              </w:rPr>
            </w:pPr>
          </w:p>
        </w:tc>
        <w:tc>
          <w:tcPr>
            <w:tcW w:w="7242" w:type="dxa"/>
            <w:vMerge w:val="continue"/>
            <w:vAlign w:val="center"/>
          </w:tcPr>
          <w:p>
            <w:pPr>
              <w:jc w:val="center"/>
              <w:rPr>
                <w:color w:val="auto"/>
                <w:highlight w:val="none"/>
              </w:rPr>
            </w:pPr>
          </w:p>
        </w:tc>
        <w:tc>
          <w:tcPr>
            <w:tcW w:w="817" w:type="dxa"/>
            <w:vAlign w:val="center"/>
          </w:tcPr>
          <w:p>
            <w:pPr>
              <w:jc w:val="center"/>
              <w:rPr>
                <w:color w:val="auto"/>
                <w:highlight w:val="none"/>
              </w:rPr>
            </w:pPr>
            <w:r>
              <w:rPr>
                <w:rFonts w:hint="eastAsia"/>
                <w:color w:val="auto"/>
                <w:highlight w:val="none"/>
              </w:rPr>
              <w:t>1</w:t>
            </w:r>
          </w:p>
        </w:tc>
        <w:tc>
          <w:tcPr>
            <w:tcW w:w="817" w:type="dxa"/>
            <w:vAlign w:val="center"/>
          </w:tcPr>
          <w:p>
            <w:pPr>
              <w:jc w:val="center"/>
              <w:rPr>
                <w:color w:val="auto"/>
                <w:highlight w:val="none"/>
              </w:rPr>
            </w:pPr>
            <w:r>
              <w:rPr>
                <w:rFonts w:hint="eastAsia"/>
                <w:color w:val="auto"/>
                <w:highlight w:val="none"/>
              </w:rPr>
              <w:t>2</w:t>
            </w:r>
          </w:p>
        </w:tc>
        <w:tc>
          <w:tcPr>
            <w:tcW w:w="817" w:type="dxa"/>
            <w:vAlign w:val="center"/>
          </w:tcPr>
          <w:p>
            <w:pPr>
              <w:jc w:val="center"/>
              <w:rPr>
                <w:color w:val="auto"/>
                <w:highlight w:val="none"/>
              </w:rPr>
            </w:pPr>
            <w:r>
              <w:rPr>
                <w:rFonts w:hint="eastAsia"/>
                <w:color w:val="auto"/>
                <w:highlight w:val="none"/>
              </w:rPr>
              <w:t>3</w:t>
            </w:r>
          </w:p>
        </w:tc>
        <w:tc>
          <w:tcPr>
            <w:tcW w:w="817" w:type="dxa"/>
            <w:vAlign w:val="center"/>
          </w:tcPr>
          <w:p>
            <w:pPr>
              <w:jc w:val="center"/>
              <w:rPr>
                <w:rFonts w:hint="eastAsia" w:eastAsiaTheme="minorEastAsia"/>
                <w:color w:val="auto"/>
                <w:highlight w:val="none"/>
                <w:lang w:val="en-US" w:eastAsia="zh-CN"/>
              </w:rPr>
            </w:pPr>
            <w:r>
              <w:rPr>
                <w:rFonts w:hint="eastAsia"/>
                <w:color w:val="auto"/>
                <w:highlight w:val="none"/>
                <w:lang w:val="en-US" w:eastAsia="zh-CN"/>
              </w:rPr>
              <w:t>4</w:t>
            </w:r>
          </w:p>
        </w:tc>
        <w:tc>
          <w:tcPr>
            <w:tcW w:w="817" w:type="dxa"/>
            <w:vAlign w:val="center"/>
          </w:tcPr>
          <w:p>
            <w:pPr>
              <w:jc w:val="center"/>
              <w:rPr>
                <w:rFonts w:hint="eastAsia" w:eastAsiaTheme="minorEastAsia"/>
                <w:color w:val="auto"/>
                <w:highlight w:val="none"/>
                <w:lang w:val="en-US" w:eastAsia="zh-CN"/>
              </w:rPr>
            </w:pPr>
            <w:r>
              <w:rPr>
                <w:rFonts w:hint="eastAsia"/>
                <w:color w:val="auto"/>
                <w:highlight w:val="none"/>
                <w:lang w:val="en-US" w:eastAsia="zh-CN"/>
              </w:rPr>
              <w:t>5</w:t>
            </w:r>
          </w:p>
        </w:tc>
        <w:tc>
          <w:tcPr>
            <w:tcW w:w="820" w:type="dxa"/>
            <w:vAlign w:val="center"/>
          </w:tcPr>
          <w:p>
            <w:pPr>
              <w:jc w:val="center"/>
              <w:rPr>
                <w:rFonts w:hint="eastAsia"/>
                <w:color w:val="auto"/>
                <w:highlight w:val="none"/>
              </w:rPr>
            </w:pPr>
            <w:r>
              <w:rPr>
                <w:rFonts w:hint="default" w:ascii="Arial" w:hAnsi="Arial" w:eastAsia="新宋体" w:cs="Arial"/>
                <w:b/>
                <w:bCs/>
                <w:color w:val="auto"/>
                <w:kern w:val="0"/>
                <w:sz w:val="24"/>
                <w:highlight w:val="none"/>
                <w:lang w:bidi="ar"/>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36" w:hRule="atLeast"/>
        </w:trPr>
        <w:tc>
          <w:tcPr>
            <w:tcW w:w="469" w:type="dxa"/>
            <w:tcBorders>
              <w:bottom w:val="single" w:color="auto" w:sz="4" w:space="0"/>
            </w:tcBorders>
            <w:vAlign w:val="center"/>
          </w:tcPr>
          <w:p>
            <w:pPr>
              <w:jc w:val="both"/>
              <w:rPr>
                <w:color w:val="auto"/>
                <w:highlight w:val="none"/>
              </w:rPr>
            </w:pPr>
            <w:r>
              <w:rPr>
                <w:rFonts w:hint="eastAsia"/>
                <w:color w:val="auto"/>
                <w:highlight w:val="none"/>
              </w:rPr>
              <w:t>1</w:t>
            </w:r>
          </w:p>
        </w:tc>
        <w:tc>
          <w:tcPr>
            <w:tcW w:w="1425" w:type="dxa"/>
            <w:tcBorders>
              <w:bottom w:val="single" w:color="auto" w:sz="4" w:space="0"/>
            </w:tcBorders>
            <w:vAlign w:val="center"/>
          </w:tcPr>
          <w:p>
            <w:pPr>
              <w:jc w:val="center"/>
              <w:rPr>
                <w:color w:val="auto"/>
                <w:highlight w:val="none"/>
              </w:rPr>
            </w:pPr>
            <w:r>
              <w:rPr>
                <w:color w:val="auto"/>
                <w:highlight w:val="none"/>
              </w:rPr>
              <w:t>对采购需求响应情况</w:t>
            </w:r>
          </w:p>
          <w:p>
            <w:pPr>
              <w:jc w:val="center"/>
              <w:rPr>
                <w:color w:val="auto"/>
                <w:highlight w:val="none"/>
              </w:rPr>
            </w:pPr>
            <w:r>
              <w:rPr>
                <w:color w:val="auto"/>
                <w:highlight w:val="none"/>
              </w:rPr>
              <w:t>(</w:t>
            </w:r>
            <w:r>
              <w:rPr>
                <w:rFonts w:hint="eastAsia"/>
                <w:color w:val="auto"/>
                <w:highlight w:val="none"/>
              </w:rPr>
              <w:t>8</w:t>
            </w:r>
            <w:r>
              <w:rPr>
                <w:color w:val="auto"/>
                <w:highlight w:val="none"/>
              </w:rPr>
              <w:t>分)</w:t>
            </w:r>
          </w:p>
        </w:tc>
        <w:tc>
          <w:tcPr>
            <w:tcW w:w="7242" w:type="dxa"/>
            <w:vAlign w:val="center"/>
          </w:tcPr>
          <w:p>
            <w:pPr>
              <w:jc w:val="both"/>
              <w:rPr>
                <w:color w:val="auto"/>
                <w:highlight w:val="none"/>
              </w:rPr>
            </w:pPr>
            <w:r>
              <w:rPr>
                <w:color w:val="auto"/>
                <w:highlight w:val="none"/>
              </w:rPr>
              <w:t>根据</w:t>
            </w:r>
            <w:r>
              <w:rPr>
                <w:rFonts w:hint="eastAsia"/>
                <w:color w:val="auto"/>
                <w:highlight w:val="none"/>
                <w:lang w:eastAsia="zh-CN"/>
              </w:rPr>
              <w:t>报价人</w:t>
            </w:r>
            <w:r>
              <w:rPr>
                <w:color w:val="auto"/>
                <w:highlight w:val="none"/>
              </w:rPr>
              <w:t>对采购需求的响应情况进行评审： 完全响应或优于采购需求的，得</w:t>
            </w:r>
            <w:r>
              <w:rPr>
                <w:rFonts w:hint="eastAsia"/>
                <w:color w:val="auto"/>
                <w:highlight w:val="none"/>
              </w:rPr>
              <w:t>8</w:t>
            </w:r>
            <w:r>
              <w:rPr>
                <w:color w:val="auto"/>
                <w:highlight w:val="none"/>
              </w:rPr>
              <w:t>分； 基本响应采购需求的，得</w:t>
            </w:r>
            <w:r>
              <w:rPr>
                <w:rFonts w:hint="eastAsia"/>
                <w:color w:val="auto"/>
                <w:highlight w:val="none"/>
              </w:rPr>
              <w:t>5</w:t>
            </w:r>
            <w:r>
              <w:rPr>
                <w:color w:val="auto"/>
                <w:highlight w:val="none"/>
              </w:rPr>
              <w:t>分；其他或无响应的，得0分。</w:t>
            </w: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20" w:type="dxa"/>
          </w:tcPr>
          <w:p>
            <w:pPr>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60"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2</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总体服务方案及维修质量要求响应情况(</w:t>
            </w:r>
            <w:r>
              <w:rPr>
                <w:rFonts w:hint="eastAsia"/>
                <w:color w:val="auto"/>
                <w:highlight w:val="none"/>
              </w:rPr>
              <w:t>8</w:t>
            </w:r>
            <w:r>
              <w:rPr>
                <w:color w:val="auto"/>
                <w:highlight w:val="none"/>
              </w:rPr>
              <w:t>分)</w:t>
            </w:r>
          </w:p>
        </w:tc>
        <w:tc>
          <w:tcPr>
            <w:tcW w:w="7242" w:type="dxa"/>
            <w:vAlign w:val="center"/>
          </w:tcPr>
          <w:p>
            <w:pPr>
              <w:jc w:val="both"/>
              <w:rPr>
                <w:color w:val="auto"/>
                <w:highlight w:val="none"/>
              </w:rPr>
            </w:pPr>
            <w:r>
              <w:rPr>
                <w:color w:val="auto"/>
                <w:highlight w:val="none"/>
              </w:rPr>
              <w:t>根据</w:t>
            </w:r>
            <w:r>
              <w:rPr>
                <w:rFonts w:hint="eastAsia"/>
                <w:color w:val="auto"/>
                <w:highlight w:val="none"/>
                <w:lang w:eastAsia="zh-CN"/>
              </w:rPr>
              <w:t>报价人</w:t>
            </w:r>
            <w:r>
              <w:rPr>
                <w:color w:val="auto"/>
                <w:highlight w:val="none"/>
              </w:rPr>
              <w:t>对本项目提出的总体服务方案及维修质量要求进行评审：总体服务方案及维修质量要求合理、完整、实用、便利，完全满足或优于需求，得</w:t>
            </w:r>
            <w:r>
              <w:rPr>
                <w:rFonts w:hint="eastAsia"/>
                <w:color w:val="auto"/>
                <w:highlight w:val="none"/>
              </w:rPr>
              <w:t>8</w:t>
            </w:r>
            <w:r>
              <w:rPr>
                <w:color w:val="auto"/>
                <w:highlight w:val="none"/>
              </w:rPr>
              <w:t>分；总体服务方案及维修质量要求不够完整、合理、实用，综合评价一般，基本满足采购需求，得</w:t>
            </w:r>
            <w:r>
              <w:rPr>
                <w:rFonts w:hint="eastAsia"/>
                <w:color w:val="auto"/>
                <w:highlight w:val="none"/>
              </w:rPr>
              <w:t>5</w:t>
            </w:r>
            <w:r>
              <w:rPr>
                <w:color w:val="auto"/>
                <w:highlight w:val="none"/>
              </w:rPr>
              <w:t>分； 未提供总体服务方案及维修质量要求或其他情况的，得0分。</w:t>
            </w: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20" w:type="dxa"/>
          </w:tcPr>
          <w:p>
            <w:pPr>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48"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3</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材料情况</w:t>
            </w:r>
          </w:p>
          <w:p>
            <w:pPr>
              <w:jc w:val="center"/>
              <w:rPr>
                <w:color w:val="auto"/>
                <w:highlight w:val="none"/>
              </w:rPr>
            </w:pPr>
            <w:r>
              <w:rPr>
                <w:color w:val="auto"/>
                <w:highlight w:val="none"/>
              </w:rPr>
              <w:t>(</w:t>
            </w:r>
            <w:r>
              <w:rPr>
                <w:rFonts w:hint="eastAsia"/>
                <w:color w:val="auto"/>
                <w:highlight w:val="none"/>
              </w:rPr>
              <w:t>5</w:t>
            </w:r>
            <w:r>
              <w:rPr>
                <w:color w:val="auto"/>
                <w:highlight w:val="none"/>
              </w:rPr>
              <w:t>分)</w:t>
            </w:r>
          </w:p>
        </w:tc>
        <w:tc>
          <w:tcPr>
            <w:tcW w:w="7242" w:type="dxa"/>
            <w:vAlign w:val="center"/>
          </w:tcPr>
          <w:p>
            <w:pPr>
              <w:jc w:val="both"/>
              <w:rPr>
                <w:color w:val="auto"/>
                <w:highlight w:val="none"/>
              </w:rPr>
            </w:pPr>
            <w:r>
              <w:rPr>
                <w:color w:val="auto"/>
                <w:highlight w:val="none"/>
              </w:rPr>
              <w:t>根据</w:t>
            </w:r>
            <w:r>
              <w:rPr>
                <w:rFonts w:hint="eastAsia"/>
                <w:color w:val="auto"/>
                <w:highlight w:val="none"/>
                <w:lang w:eastAsia="zh-CN"/>
              </w:rPr>
              <w:t>报价人</w:t>
            </w:r>
            <w:r>
              <w:rPr>
                <w:color w:val="auto"/>
                <w:highlight w:val="none"/>
              </w:rPr>
              <w:t xml:space="preserve">对本项目承诺提供的维修材料的质量、性能等情况进行评审： </w:t>
            </w:r>
            <w:r>
              <w:rPr>
                <w:rFonts w:hint="eastAsia"/>
                <w:color w:val="auto"/>
                <w:highlight w:val="none"/>
                <w:lang w:eastAsia="zh-CN"/>
              </w:rPr>
              <w:t>报价人</w:t>
            </w:r>
            <w:r>
              <w:rPr>
                <w:color w:val="auto"/>
                <w:highlight w:val="none"/>
              </w:rPr>
              <w:t>承诺全面完整，完全满足或优于需求，得</w:t>
            </w:r>
            <w:r>
              <w:rPr>
                <w:rFonts w:hint="eastAsia"/>
                <w:color w:val="auto"/>
                <w:highlight w:val="none"/>
              </w:rPr>
              <w:t>5</w:t>
            </w:r>
            <w:r>
              <w:rPr>
                <w:color w:val="auto"/>
                <w:highlight w:val="none"/>
              </w:rPr>
              <w:t xml:space="preserve">分； </w:t>
            </w:r>
            <w:r>
              <w:rPr>
                <w:rFonts w:hint="eastAsia"/>
                <w:color w:val="auto"/>
                <w:highlight w:val="none"/>
                <w:lang w:eastAsia="zh-CN"/>
              </w:rPr>
              <w:t>报价人</w:t>
            </w:r>
            <w:r>
              <w:rPr>
                <w:color w:val="auto"/>
                <w:highlight w:val="none"/>
              </w:rPr>
              <w:t>承诺较全面完整，基本满足采购需求，得</w:t>
            </w:r>
            <w:r>
              <w:rPr>
                <w:rFonts w:hint="eastAsia"/>
                <w:color w:val="auto"/>
                <w:highlight w:val="none"/>
              </w:rPr>
              <w:t>3</w:t>
            </w:r>
            <w:r>
              <w:rPr>
                <w:color w:val="auto"/>
                <w:highlight w:val="none"/>
              </w:rPr>
              <w:t>分；</w:t>
            </w:r>
            <w:r>
              <w:rPr>
                <w:rFonts w:hint="eastAsia"/>
                <w:color w:val="auto"/>
                <w:highlight w:val="none"/>
                <w:lang w:eastAsia="zh-CN"/>
              </w:rPr>
              <w:t>报价人</w:t>
            </w:r>
            <w:r>
              <w:rPr>
                <w:color w:val="auto"/>
                <w:highlight w:val="none"/>
              </w:rPr>
              <w:t>未提供承诺或其他情况，得0分。</w:t>
            </w: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20" w:type="dxa"/>
          </w:tcPr>
          <w:p>
            <w:pPr>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4</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维修作业的时间计划安排及承接能力情况</w:t>
            </w:r>
          </w:p>
          <w:p>
            <w:pPr>
              <w:jc w:val="center"/>
              <w:rPr>
                <w:color w:val="auto"/>
                <w:highlight w:val="none"/>
              </w:rPr>
            </w:pPr>
            <w:r>
              <w:rPr>
                <w:color w:val="auto"/>
                <w:highlight w:val="none"/>
              </w:rPr>
              <w:t>(</w:t>
            </w:r>
            <w:r>
              <w:rPr>
                <w:rFonts w:hint="eastAsia"/>
                <w:color w:val="auto"/>
                <w:highlight w:val="none"/>
              </w:rPr>
              <w:t>5</w:t>
            </w:r>
            <w:r>
              <w:rPr>
                <w:color w:val="auto"/>
                <w:highlight w:val="none"/>
              </w:rPr>
              <w:t>分)</w:t>
            </w:r>
          </w:p>
        </w:tc>
        <w:tc>
          <w:tcPr>
            <w:tcW w:w="7242" w:type="dxa"/>
            <w:vAlign w:val="center"/>
          </w:tcPr>
          <w:p>
            <w:pPr>
              <w:jc w:val="both"/>
              <w:rPr>
                <w:color w:val="auto"/>
                <w:highlight w:val="none"/>
              </w:rPr>
            </w:pPr>
            <w:r>
              <w:rPr>
                <w:color w:val="auto"/>
                <w:highlight w:val="none"/>
              </w:rPr>
              <w:t>根据</w:t>
            </w:r>
            <w:r>
              <w:rPr>
                <w:rFonts w:hint="eastAsia"/>
                <w:color w:val="auto"/>
                <w:highlight w:val="none"/>
                <w:lang w:eastAsia="zh-CN"/>
              </w:rPr>
              <w:t>报价人</w:t>
            </w:r>
            <w:r>
              <w:rPr>
                <w:color w:val="auto"/>
                <w:highlight w:val="none"/>
              </w:rPr>
              <w:t xml:space="preserve">的维修作业能力情况（包括但不限于维修作业的时间计划安排、能同时满足不少于3台车辆进行维修作业，能满足采购人技术质量要求等）进行评审： </w:t>
            </w:r>
            <w:r>
              <w:rPr>
                <w:rFonts w:hint="eastAsia"/>
                <w:color w:val="auto"/>
                <w:highlight w:val="none"/>
                <w:lang w:eastAsia="zh-CN"/>
              </w:rPr>
              <w:t>报价人</w:t>
            </w:r>
            <w:r>
              <w:rPr>
                <w:color w:val="auto"/>
                <w:highlight w:val="none"/>
              </w:rPr>
              <w:t>维修作业能力强，完全满足或优于需求，得</w:t>
            </w:r>
            <w:r>
              <w:rPr>
                <w:rFonts w:hint="eastAsia"/>
                <w:color w:val="auto"/>
                <w:highlight w:val="none"/>
              </w:rPr>
              <w:t>5</w:t>
            </w:r>
            <w:r>
              <w:rPr>
                <w:color w:val="auto"/>
                <w:highlight w:val="none"/>
              </w:rPr>
              <w:t>分；投标人维修作业能力一般，基本满足采购需求，得</w:t>
            </w:r>
            <w:r>
              <w:rPr>
                <w:rFonts w:hint="eastAsia"/>
                <w:color w:val="auto"/>
                <w:highlight w:val="none"/>
              </w:rPr>
              <w:t>3</w:t>
            </w:r>
            <w:r>
              <w:rPr>
                <w:color w:val="auto"/>
                <w:highlight w:val="none"/>
              </w:rPr>
              <w:t>分； 投标人维修作业能力差或无响应或其他情况，得0分。</w:t>
            </w: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20" w:type="dxa"/>
          </w:tcPr>
          <w:p>
            <w:pPr>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18"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5</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售后服务承诺、质保期及质量保证措施 (</w:t>
            </w:r>
            <w:r>
              <w:rPr>
                <w:rFonts w:hint="eastAsia"/>
                <w:color w:val="auto"/>
                <w:highlight w:val="none"/>
              </w:rPr>
              <w:t>5</w:t>
            </w:r>
            <w:r>
              <w:rPr>
                <w:color w:val="auto"/>
                <w:highlight w:val="none"/>
              </w:rPr>
              <w:t>分)</w:t>
            </w:r>
          </w:p>
        </w:tc>
        <w:tc>
          <w:tcPr>
            <w:tcW w:w="7242" w:type="dxa"/>
            <w:vAlign w:val="center"/>
          </w:tcPr>
          <w:p>
            <w:pPr>
              <w:jc w:val="both"/>
              <w:rPr>
                <w:color w:val="auto"/>
                <w:highlight w:val="none"/>
              </w:rPr>
            </w:pPr>
            <w:r>
              <w:rPr>
                <w:color w:val="auto"/>
                <w:highlight w:val="none"/>
              </w:rPr>
              <w:t>根据投标人对本项目的售后服务承诺、质保期及质量保证措施进行评审： 售后服务承诺、质保期及质量保证措施合理、完整、实用、便利，完全满足或优于需求，得</w:t>
            </w:r>
            <w:r>
              <w:rPr>
                <w:rFonts w:hint="eastAsia"/>
                <w:color w:val="auto"/>
                <w:highlight w:val="none"/>
              </w:rPr>
              <w:t>5</w:t>
            </w:r>
            <w:r>
              <w:rPr>
                <w:color w:val="auto"/>
                <w:highlight w:val="none"/>
              </w:rPr>
              <w:t>分； 售后服务承诺、质保期及质量保证措施较为合理、完整、实用，基本满足采购需求，得</w:t>
            </w:r>
            <w:r>
              <w:rPr>
                <w:rFonts w:hint="eastAsia"/>
                <w:color w:val="auto"/>
                <w:highlight w:val="none"/>
              </w:rPr>
              <w:t>3</w:t>
            </w:r>
            <w:r>
              <w:rPr>
                <w:color w:val="auto"/>
                <w:highlight w:val="none"/>
              </w:rPr>
              <w:t>分；未提供售后服务承诺、质保期及质量保证措施或其他情况的，得0分。</w:t>
            </w: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20" w:type="dxa"/>
            <w:vAlign w:val="center"/>
          </w:tcPr>
          <w:p>
            <w:pPr>
              <w:jc w:val="both"/>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33"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6</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应急处理方案 (</w:t>
            </w:r>
            <w:r>
              <w:rPr>
                <w:rFonts w:hint="eastAsia"/>
                <w:color w:val="auto"/>
                <w:highlight w:val="none"/>
              </w:rPr>
              <w:t>5</w:t>
            </w:r>
            <w:r>
              <w:rPr>
                <w:color w:val="auto"/>
                <w:highlight w:val="none"/>
              </w:rPr>
              <w:t>分)</w:t>
            </w:r>
          </w:p>
        </w:tc>
        <w:tc>
          <w:tcPr>
            <w:tcW w:w="7242" w:type="dxa"/>
            <w:vAlign w:val="center"/>
          </w:tcPr>
          <w:p>
            <w:pPr>
              <w:jc w:val="both"/>
              <w:rPr>
                <w:color w:val="auto"/>
                <w:highlight w:val="none"/>
              </w:rPr>
            </w:pPr>
            <w:r>
              <w:rPr>
                <w:color w:val="auto"/>
                <w:highlight w:val="none"/>
              </w:rPr>
              <w:t>根据</w:t>
            </w:r>
            <w:r>
              <w:rPr>
                <w:rFonts w:hint="eastAsia"/>
                <w:color w:val="auto"/>
                <w:highlight w:val="none"/>
                <w:lang w:eastAsia="zh-CN"/>
              </w:rPr>
              <w:t>报价人</w:t>
            </w:r>
            <w:r>
              <w:rPr>
                <w:color w:val="auto"/>
                <w:highlight w:val="none"/>
              </w:rPr>
              <w:t>所提交的应急处理方案（如：能承接临时增加的工作，有突发性服务应急方案等）进行评审： 应急处理方案合理、可行，完全满足或优于需求，得</w:t>
            </w:r>
            <w:r>
              <w:rPr>
                <w:rFonts w:hint="eastAsia"/>
                <w:color w:val="auto"/>
                <w:highlight w:val="none"/>
              </w:rPr>
              <w:t>5</w:t>
            </w:r>
            <w:r>
              <w:rPr>
                <w:color w:val="auto"/>
                <w:highlight w:val="none"/>
              </w:rPr>
              <w:t>分；应急处理方案不够合理、可行，基本满足采购需求，得</w:t>
            </w:r>
            <w:r>
              <w:rPr>
                <w:rFonts w:hint="eastAsia"/>
                <w:color w:val="auto"/>
                <w:highlight w:val="none"/>
              </w:rPr>
              <w:t>3</w:t>
            </w:r>
            <w:r>
              <w:rPr>
                <w:color w:val="auto"/>
                <w:highlight w:val="none"/>
              </w:rPr>
              <w:t>分； 未提供应急处理方案或其他情况的，得0分。</w:t>
            </w: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20" w:type="dxa"/>
            <w:vAlign w:val="center"/>
          </w:tcPr>
          <w:p>
            <w:pPr>
              <w:jc w:val="both"/>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02" w:hRule="atLeast"/>
        </w:trPr>
        <w:tc>
          <w:tcPr>
            <w:tcW w:w="469" w:type="dxa"/>
            <w:tcBorders>
              <w:top w:val="single" w:color="auto" w:sz="4" w:space="0"/>
              <w:bottom w:val="single" w:color="auto" w:sz="4" w:space="0"/>
            </w:tcBorders>
            <w:vAlign w:val="center"/>
          </w:tcPr>
          <w:p>
            <w:pPr>
              <w:jc w:val="both"/>
              <w:rPr>
                <w:color w:val="auto"/>
                <w:highlight w:val="none"/>
              </w:rPr>
            </w:pPr>
            <w:r>
              <w:rPr>
                <w:rFonts w:hint="eastAsia"/>
                <w:color w:val="auto"/>
                <w:highlight w:val="none"/>
              </w:rPr>
              <w:t>7</w:t>
            </w:r>
          </w:p>
        </w:tc>
        <w:tc>
          <w:tcPr>
            <w:tcW w:w="1425" w:type="dxa"/>
            <w:tcBorders>
              <w:top w:val="single" w:color="auto" w:sz="4" w:space="0"/>
              <w:bottom w:val="single" w:color="auto" w:sz="4" w:space="0"/>
            </w:tcBorders>
            <w:vAlign w:val="center"/>
          </w:tcPr>
          <w:p>
            <w:pPr>
              <w:jc w:val="center"/>
              <w:rPr>
                <w:color w:val="auto"/>
                <w:highlight w:val="none"/>
              </w:rPr>
            </w:pPr>
            <w:r>
              <w:rPr>
                <w:color w:val="auto"/>
                <w:highlight w:val="none"/>
              </w:rPr>
              <w:t>服务便利性 (</w:t>
            </w:r>
            <w:r>
              <w:rPr>
                <w:rFonts w:hint="eastAsia"/>
                <w:color w:val="auto"/>
                <w:highlight w:val="none"/>
              </w:rPr>
              <w:t>4</w:t>
            </w:r>
            <w:r>
              <w:rPr>
                <w:color w:val="auto"/>
                <w:highlight w:val="none"/>
              </w:rPr>
              <w:t>分)</w:t>
            </w:r>
          </w:p>
        </w:tc>
        <w:tc>
          <w:tcPr>
            <w:tcW w:w="7242" w:type="dxa"/>
            <w:vAlign w:val="center"/>
          </w:tcPr>
          <w:p>
            <w:pPr>
              <w:jc w:val="both"/>
              <w:rPr>
                <w:color w:val="auto"/>
                <w:highlight w:val="none"/>
              </w:rPr>
            </w:pPr>
            <w:r>
              <w:rPr>
                <w:color w:val="auto"/>
                <w:highlight w:val="none"/>
              </w:rPr>
              <w:t>接到电话后能够及时响应，除不可抗拒因素外，能够30分钟内（含）到达采购人处协助人解决问题：</w:t>
            </w:r>
            <w:r>
              <w:rPr>
                <w:rFonts w:hint="eastAsia"/>
                <w:color w:val="auto"/>
                <w:highlight w:val="none"/>
              </w:rPr>
              <w:t>4</w:t>
            </w:r>
            <w:r>
              <w:rPr>
                <w:color w:val="auto"/>
                <w:highlight w:val="none"/>
              </w:rPr>
              <w:t>分； 接到电话后响应时间较快，除不可抗拒因素外，能够30-60分钟内（含）到达采购人处协助解决问题：</w:t>
            </w:r>
            <w:r>
              <w:rPr>
                <w:rFonts w:hint="eastAsia"/>
                <w:color w:val="auto"/>
                <w:highlight w:val="none"/>
              </w:rPr>
              <w:t>3</w:t>
            </w:r>
            <w:r>
              <w:rPr>
                <w:color w:val="auto"/>
                <w:highlight w:val="none"/>
              </w:rPr>
              <w:t>分； 接到电话后响应时间较慢，除不可抗拒因素外，需要60分钟以上才能到达采购人处协助解决问题：</w:t>
            </w:r>
            <w:r>
              <w:rPr>
                <w:rFonts w:hint="eastAsia"/>
                <w:color w:val="auto"/>
                <w:highlight w:val="none"/>
              </w:rPr>
              <w:t>2</w:t>
            </w:r>
            <w:r>
              <w:rPr>
                <w:color w:val="auto"/>
                <w:highlight w:val="none"/>
              </w:rPr>
              <w:t xml:space="preserve">分。其他情况或无响应，得0分。 </w:t>
            </w:r>
          </w:p>
          <w:p>
            <w:pPr>
              <w:jc w:val="both"/>
              <w:rPr>
                <w:color w:val="auto"/>
                <w:highlight w:val="none"/>
              </w:rPr>
            </w:pPr>
            <w:r>
              <w:rPr>
                <w:color w:val="auto"/>
                <w:highlight w:val="none"/>
              </w:rPr>
              <w:t>（注：提供相关的证明材料或承诺函）</w:t>
            </w: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17" w:type="dxa"/>
            <w:vAlign w:val="center"/>
          </w:tcPr>
          <w:p>
            <w:pPr>
              <w:jc w:val="both"/>
              <w:rPr>
                <w:color w:val="auto"/>
                <w:highlight w:val="none"/>
              </w:rPr>
            </w:pPr>
          </w:p>
        </w:tc>
        <w:tc>
          <w:tcPr>
            <w:tcW w:w="820" w:type="dxa"/>
            <w:vAlign w:val="center"/>
          </w:tcPr>
          <w:p>
            <w:pPr>
              <w:jc w:val="both"/>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2" w:hRule="atLeast"/>
        </w:trPr>
        <w:tc>
          <w:tcPr>
            <w:tcW w:w="9136" w:type="dxa"/>
            <w:gridSpan w:val="3"/>
            <w:tcBorders>
              <w:top w:val="single" w:color="auto" w:sz="4" w:space="0"/>
            </w:tcBorders>
            <w:vAlign w:val="center"/>
          </w:tcPr>
          <w:p>
            <w:pPr>
              <w:jc w:val="center"/>
              <w:rPr>
                <w:color w:val="auto"/>
                <w:highlight w:val="none"/>
              </w:rPr>
            </w:pPr>
            <w:r>
              <w:rPr>
                <w:rFonts w:hint="eastAsia"/>
                <w:color w:val="auto"/>
                <w:highlight w:val="none"/>
              </w:rPr>
              <w:t>合计</w:t>
            </w: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17" w:type="dxa"/>
          </w:tcPr>
          <w:p>
            <w:pPr>
              <w:jc w:val="left"/>
              <w:rPr>
                <w:color w:val="auto"/>
                <w:highlight w:val="none"/>
              </w:rPr>
            </w:pPr>
          </w:p>
        </w:tc>
        <w:tc>
          <w:tcPr>
            <w:tcW w:w="820" w:type="dxa"/>
          </w:tcPr>
          <w:p>
            <w:pPr>
              <w:jc w:val="left"/>
              <w:rPr>
                <w:color w:val="auto"/>
                <w:highlight w:val="none"/>
              </w:rPr>
            </w:pPr>
          </w:p>
        </w:tc>
      </w:tr>
    </w:tbl>
    <w:p>
      <w:pPr>
        <w:widowControl/>
        <w:jc w:val="center"/>
        <w:rPr>
          <w:rFonts w:hint="eastAsia" w:ascii="新宋体" w:hAnsi="新宋体" w:eastAsia="新宋体" w:cs="新宋体"/>
          <w:b/>
          <w:bCs/>
          <w:color w:val="auto"/>
          <w:kern w:val="0"/>
          <w:sz w:val="24"/>
          <w:highlight w:val="none"/>
          <w:lang w:bidi="ar"/>
        </w:rPr>
      </w:pPr>
    </w:p>
    <w:p>
      <w:pPr>
        <w:widowControl/>
        <w:jc w:val="left"/>
        <w:rPr>
          <w:rFonts w:hint="eastAsia" w:ascii="宋体" w:hAnsi="宋体" w:eastAsia="宋体" w:cs="宋体"/>
          <w:bCs/>
          <w:color w:val="auto"/>
          <w:highlight w:val="none"/>
        </w:rPr>
      </w:pPr>
    </w:p>
    <w:p>
      <w:pPr>
        <w:widowControl/>
        <w:jc w:val="left"/>
        <w:rPr>
          <w:rFonts w:hint="eastAsia" w:ascii="宋体" w:hAnsi="宋体" w:eastAsia="宋体" w:cs="宋体"/>
          <w:bCs/>
          <w:color w:val="auto"/>
          <w:highlight w:val="none"/>
        </w:rPr>
      </w:pPr>
    </w:p>
    <w:p>
      <w:pPr>
        <w:widowControl/>
        <w:jc w:val="left"/>
        <w:rPr>
          <w:rFonts w:hint="eastAsia" w:ascii="新宋体" w:hAnsi="新宋体" w:eastAsia="新宋体" w:cs="新宋体"/>
          <w:b/>
          <w:bCs/>
          <w:color w:val="auto"/>
          <w:kern w:val="0"/>
          <w:sz w:val="24"/>
          <w:highlight w:val="none"/>
          <w:lang w:bidi="ar"/>
        </w:rPr>
      </w:pPr>
      <w:r>
        <w:rPr>
          <w:rFonts w:hint="eastAsia" w:ascii="宋体" w:hAnsi="宋体" w:eastAsia="宋体" w:cs="宋体"/>
          <w:bCs/>
          <w:color w:val="auto"/>
          <w:highlight w:val="none"/>
        </w:rPr>
        <w:t xml:space="preserve">评委签名：  </w:t>
      </w:r>
      <w:r>
        <w:rPr>
          <w:rFonts w:hint="eastAsia" w:ascii="新宋体" w:hAnsi="新宋体" w:eastAsia="新宋体" w:cs="新宋体"/>
          <w:b/>
          <w:bCs/>
          <w:color w:val="auto"/>
          <w:kern w:val="0"/>
          <w:sz w:val="24"/>
          <w:highlight w:val="none"/>
          <w:lang w:bidi="ar"/>
        </w:rPr>
        <w:br w:type="page"/>
      </w:r>
    </w:p>
    <w:p>
      <w:pPr>
        <w:widowControl/>
        <w:jc w:val="center"/>
        <w:rPr>
          <w:rFonts w:hint="eastAsia" w:ascii="新宋体" w:hAnsi="新宋体" w:eastAsia="新宋体" w:cs="新宋体"/>
          <w:b/>
          <w:bCs/>
          <w:color w:val="auto"/>
          <w:kern w:val="0"/>
          <w:sz w:val="30"/>
          <w:szCs w:val="30"/>
          <w:highlight w:val="none"/>
          <w:lang w:eastAsia="zh-CN" w:bidi="ar"/>
        </w:rPr>
      </w:pPr>
      <w:r>
        <w:rPr>
          <w:rFonts w:hint="eastAsia" w:ascii="新宋体" w:hAnsi="新宋体" w:eastAsia="新宋体" w:cs="新宋体"/>
          <w:b/>
          <w:bCs/>
          <w:color w:val="auto"/>
          <w:kern w:val="0"/>
          <w:sz w:val="30"/>
          <w:szCs w:val="30"/>
          <w:highlight w:val="none"/>
          <w:lang w:bidi="ar"/>
        </w:rPr>
        <w:t>附表四 价格</w:t>
      </w:r>
      <w:r>
        <w:rPr>
          <w:rFonts w:hint="eastAsia" w:ascii="新宋体" w:hAnsi="新宋体" w:eastAsia="新宋体" w:cs="新宋体"/>
          <w:b/>
          <w:bCs/>
          <w:color w:val="auto"/>
          <w:kern w:val="0"/>
          <w:sz w:val="30"/>
          <w:szCs w:val="30"/>
          <w:highlight w:val="none"/>
          <w:lang w:eastAsia="zh-CN" w:bidi="ar"/>
        </w:rPr>
        <w:t>部分</w:t>
      </w:r>
      <w:r>
        <w:rPr>
          <w:rFonts w:hint="eastAsia" w:ascii="新宋体" w:hAnsi="新宋体" w:eastAsia="新宋体" w:cs="新宋体"/>
          <w:b/>
          <w:bCs/>
          <w:color w:val="auto"/>
          <w:kern w:val="0"/>
          <w:sz w:val="30"/>
          <w:szCs w:val="30"/>
          <w:highlight w:val="none"/>
          <w:lang w:bidi="ar"/>
        </w:rPr>
        <w:t>评审表</w:t>
      </w:r>
      <w:r>
        <w:rPr>
          <w:rFonts w:hint="eastAsia" w:ascii="新宋体" w:hAnsi="新宋体" w:eastAsia="新宋体" w:cs="新宋体"/>
          <w:b/>
          <w:bCs/>
          <w:color w:val="auto"/>
          <w:kern w:val="0"/>
          <w:sz w:val="30"/>
          <w:szCs w:val="30"/>
          <w:highlight w:val="none"/>
          <w:lang w:eastAsia="zh-CN" w:bidi="ar"/>
        </w:rPr>
        <w:t>（</w:t>
      </w:r>
      <w:r>
        <w:rPr>
          <w:rFonts w:hint="eastAsia" w:ascii="新宋体" w:hAnsi="新宋体" w:eastAsia="新宋体" w:cs="新宋体"/>
          <w:b/>
          <w:bCs/>
          <w:color w:val="auto"/>
          <w:kern w:val="0"/>
          <w:sz w:val="30"/>
          <w:szCs w:val="30"/>
          <w:highlight w:val="none"/>
          <w:lang w:val="en-US" w:eastAsia="zh-CN" w:bidi="ar"/>
        </w:rPr>
        <w:t>20分</w:t>
      </w:r>
      <w:r>
        <w:rPr>
          <w:rFonts w:hint="eastAsia" w:ascii="新宋体" w:hAnsi="新宋体" w:eastAsia="新宋体" w:cs="新宋体"/>
          <w:b/>
          <w:bCs/>
          <w:color w:val="auto"/>
          <w:kern w:val="0"/>
          <w:sz w:val="30"/>
          <w:szCs w:val="30"/>
          <w:highlight w:val="none"/>
          <w:lang w:eastAsia="zh-CN" w:bidi="ar"/>
        </w:rPr>
        <w:t>）</w:t>
      </w:r>
    </w:p>
    <w:p>
      <w:pPr>
        <w:widowControl/>
        <w:jc w:val="center"/>
        <w:rPr>
          <w:rFonts w:ascii="新宋体" w:hAnsi="新宋体" w:eastAsia="新宋体" w:cs="新宋体"/>
          <w:b/>
          <w:bCs/>
          <w:color w:val="auto"/>
          <w:kern w:val="0"/>
          <w:sz w:val="24"/>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
        <w:gridCol w:w="1080"/>
        <w:gridCol w:w="7612"/>
        <w:gridCol w:w="817"/>
        <w:gridCol w:w="817"/>
        <w:gridCol w:w="817"/>
        <w:gridCol w:w="817"/>
        <w:gridCol w:w="817"/>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44" w:type="dxa"/>
            <w:vMerge w:val="restart"/>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 w:val="24"/>
                <w:highlight w:val="none"/>
                <w:lang w:bidi="ar"/>
              </w:rPr>
              <w:t>序号</w:t>
            </w:r>
          </w:p>
        </w:tc>
        <w:tc>
          <w:tcPr>
            <w:tcW w:w="1080" w:type="dxa"/>
            <w:vMerge w:val="restart"/>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 w:val="24"/>
                <w:highlight w:val="none"/>
                <w:lang w:bidi="ar"/>
              </w:rPr>
              <w:t>评审项目</w:t>
            </w:r>
          </w:p>
        </w:tc>
        <w:tc>
          <w:tcPr>
            <w:tcW w:w="7612" w:type="dxa"/>
            <w:vMerge w:val="restart"/>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 w:val="24"/>
                <w:highlight w:val="none"/>
                <w:lang w:bidi="ar"/>
              </w:rPr>
              <w:t>评审内容</w:t>
            </w:r>
          </w:p>
        </w:tc>
        <w:tc>
          <w:tcPr>
            <w:tcW w:w="4905" w:type="dxa"/>
            <w:gridSpan w:val="6"/>
            <w:vAlign w:val="center"/>
          </w:tcPr>
          <w:p>
            <w:pPr>
              <w:widowControl/>
              <w:jc w:val="center"/>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444" w:type="dxa"/>
            <w:vMerge w:val="continue"/>
            <w:vAlign w:val="center"/>
          </w:tcPr>
          <w:p>
            <w:pPr>
              <w:widowControl/>
              <w:jc w:val="center"/>
              <w:rPr>
                <w:rFonts w:ascii="宋体" w:hAnsi="宋体" w:eastAsia="宋体" w:cs="宋体"/>
                <w:b/>
                <w:bCs/>
                <w:color w:val="auto"/>
                <w:kern w:val="0"/>
                <w:sz w:val="24"/>
                <w:highlight w:val="none"/>
                <w:lang w:bidi="ar"/>
              </w:rPr>
            </w:pPr>
          </w:p>
        </w:tc>
        <w:tc>
          <w:tcPr>
            <w:tcW w:w="1080" w:type="dxa"/>
            <w:vMerge w:val="continue"/>
            <w:vAlign w:val="center"/>
          </w:tcPr>
          <w:p>
            <w:pPr>
              <w:widowControl/>
              <w:jc w:val="center"/>
              <w:rPr>
                <w:rFonts w:ascii="宋体" w:hAnsi="宋体" w:eastAsia="宋体" w:cs="宋体"/>
                <w:b/>
                <w:bCs/>
                <w:color w:val="auto"/>
                <w:kern w:val="0"/>
                <w:sz w:val="24"/>
                <w:highlight w:val="none"/>
                <w:lang w:bidi="ar"/>
              </w:rPr>
            </w:pPr>
          </w:p>
        </w:tc>
        <w:tc>
          <w:tcPr>
            <w:tcW w:w="7612" w:type="dxa"/>
            <w:vMerge w:val="continue"/>
            <w:vAlign w:val="center"/>
          </w:tcPr>
          <w:p>
            <w:pPr>
              <w:widowControl/>
              <w:jc w:val="center"/>
              <w:rPr>
                <w:rFonts w:ascii="宋体" w:hAnsi="宋体" w:eastAsia="宋体" w:cs="宋体"/>
                <w:b/>
                <w:bCs/>
                <w:color w:val="auto"/>
                <w:kern w:val="0"/>
                <w:sz w:val="24"/>
                <w:highlight w:val="none"/>
                <w:lang w:bidi="ar"/>
              </w:rPr>
            </w:pPr>
          </w:p>
        </w:tc>
        <w:tc>
          <w:tcPr>
            <w:tcW w:w="817" w:type="dxa"/>
            <w:vAlign w:val="center"/>
          </w:tcPr>
          <w:p>
            <w:pPr>
              <w:widowControl/>
              <w:jc w:val="center"/>
              <w:rPr>
                <w:rFonts w:ascii="宋体" w:hAnsi="宋体" w:eastAsia="宋体" w:cs="宋体"/>
                <w:b/>
                <w:bCs/>
                <w:color w:val="auto"/>
                <w:kern w:val="0"/>
                <w:sz w:val="24"/>
                <w:highlight w:val="none"/>
                <w:lang w:bidi="ar"/>
              </w:rPr>
            </w:pPr>
            <w:r>
              <w:rPr>
                <w:rFonts w:hint="eastAsia" w:ascii="宋体" w:hAnsi="宋体" w:eastAsia="宋体" w:cs="宋体"/>
                <w:b/>
                <w:bCs/>
                <w:color w:val="auto"/>
                <w:kern w:val="0"/>
                <w:sz w:val="24"/>
                <w:highlight w:val="none"/>
                <w:lang w:bidi="ar"/>
              </w:rPr>
              <w:t>1</w:t>
            </w:r>
          </w:p>
        </w:tc>
        <w:tc>
          <w:tcPr>
            <w:tcW w:w="817" w:type="dxa"/>
            <w:vAlign w:val="center"/>
          </w:tcPr>
          <w:p>
            <w:pPr>
              <w:widowControl/>
              <w:jc w:val="center"/>
              <w:rPr>
                <w:rFonts w:ascii="宋体" w:hAnsi="宋体" w:eastAsia="宋体" w:cs="宋体"/>
                <w:b/>
                <w:bCs/>
                <w:color w:val="auto"/>
                <w:kern w:val="0"/>
                <w:sz w:val="24"/>
                <w:highlight w:val="none"/>
                <w:lang w:bidi="ar"/>
              </w:rPr>
            </w:pPr>
            <w:r>
              <w:rPr>
                <w:rFonts w:hint="eastAsia" w:ascii="宋体" w:hAnsi="宋体" w:eastAsia="宋体" w:cs="宋体"/>
                <w:b/>
                <w:bCs/>
                <w:color w:val="auto"/>
                <w:kern w:val="0"/>
                <w:sz w:val="24"/>
                <w:highlight w:val="none"/>
                <w:lang w:bidi="ar"/>
              </w:rPr>
              <w:t>2</w:t>
            </w:r>
          </w:p>
        </w:tc>
        <w:tc>
          <w:tcPr>
            <w:tcW w:w="817" w:type="dxa"/>
            <w:vAlign w:val="center"/>
          </w:tcPr>
          <w:p>
            <w:pPr>
              <w:widowControl/>
              <w:jc w:val="center"/>
              <w:rPr>
                <w:rFonts w:ascii="宋体" w:hAnsi="宋体" w:eastAsia="宋体" w:cs="宋体"/>
                <w:b/>
                <w:bCs/>
                <w:color w:val="auto"/>
                <w:kern w:val="0"/>
                <w:sz w:val="24"/>
                <w:highlight w:val="none"/>
                <w:lang w:bidi="ar"/>
              </w:rPr>
            </w:pPr>
            <w:r>
              <w:rPr>
                <w:rFonts w:hint="eastAsia" w:ascii="宋体" w:hAnsi="宋体" w:eastAsia="宋体" w:cs="宋体"/>
                <w:b/>
                <w:bCs/>
                <w:color w:val="auto"/>
                <w:kern w:val="0"/>
                <w:sz w:val="24"/>
                <w:highlight w:val="none"/>
                <w:lang w:bidi="ar"/>
              </w:rPr>
              <w:t>3</w:t>
            </w:r>
          </w:p>
        </w:tc>
        <w:tc>
          <w:tcPr>
            <w:tcW w:w="817" w:type="dxa"/>
            <w:vAlign w:val="center"/>
          </w:tcPr>
          <w:p>
            <w:pPr>
              <w:widowControl/>
              <w:jc w:val="center"/>
              <w:rPr>
                <w:rFonts w:hint="eastAsia" w:ascii="宋体" w:hAnsi="宋体" w:eastAsia="宋体" w:cs="宋体"/>
                <w:b/>
                <w:bCs/>
                <w:color w:val="auto"/>
                <w:kern w:val="0"/>
                <w:sz w:val="24"/>
                <w:highlight w:val="none"/>
                <w:lang w:val="en-US" w:eastAsia="zh-CN" w:bidi="ar"/>
              </w:rPr>
            </w:pPr>
            <w:r>
              <w:rPr>
                <w:rFonts w:hint="eastAsia" w:ascii="宋体" w:hAnsi="宋体" w:eastAsia="宋体" w:cs="宋体"/>
                <w:b/>
                <w:bCs/>
                <w:color w:val="auto"/>
                <w:kern w:val="0"/>
                <w:sz w:val="24"/>
                <w:highlight w:val="none"/>
                <w:lang w:val="en-US" w:eastAsia="zh-CN" w:bidi="ar"/>
              </w:rPr>
              <w:t>4</w:t>
            </w:r>
          </w:p>
        </w:tc>
        <w:tc>
          <w:tcPr>
            <w:tcW w:w="817" w:type="dxa"/>
            <w:vAlign w:val="center"/>
          </w:tcPr>
          <w:p>
            <w:pPr>
              <w:widowControl/>
              <w:jc w:val="center"/>
              <w:rPr>
                <w:rFonts w:hint="eastAsia" w:ascii="宋体" w:hAnsi="宋体" w:eastAsia="宋体" w:cs="宋体"/>
                <w:b/>
                <w:bCs/>
                <w:color w:val="auto"/>
                <w:kern w:val="0"/>
                <w:sz w:val="24"/>
                <w:highlight w:val="none"/>
                <w:lang w:val="en-US" w:eastAsia="zh-CN" w:bidi="ar"/>
              </w:rPr>
            </w:pPr>
            <w:r>
              <w:rPr>
                <w:rFonts w:hint="eastAsia" w:ascii="宋体" w:hAnsi="宋体" w:eastAsia="宋体" w:cs="宋体"/>
                <w:b/>
                <w:bCs/>
                <w:color w:val="auto"/>
                <w:kern w:val="0"/>
                <w:sz w:val="24"/>
                <w:highlight w:val="none"/>
                <w:lang w:val="en-US" w:eastAsia="zh-CN" w:bidi="ar"/>
              </w:rPr>
              <w:t>5</w:t>
            </w:r>
          </w:p>
        </w:tc>
        <w:tc>
          <w:tcPr>
            <w:tcW w:w="820" w:type="dxa"/>
            <w:vAlign w:val="center"/>
          </w:tcPr>
          <w:p>
            <w:pPr>
              <w:widowControl/>
              <w:jc w:val="center"/>
              <w:rPr>
                <w:rFonts w:hint="eastAsia" w:ascii="宋体" w:hAnsi="宋体" w:eastAsia="宋体" w:cs="宋体"/>
                <w:b/>
                <w:bCs/>
                <w:color w:val="auto"/>
                <w:kern w:val="0"/>
                <w:sz w:val="24"/>
                <w:highlight w:val="none"/>
                <w:lang w:bidi="ar"/>
              </w:rPr>
            </w:pPr>
            <w:r>
              <w:rPr>
                <w:rFonts w:hint="default" w:ascii="Arial" w:hAnsi="Arial" w:eastAsia="新宋体" w:cs="Arial"/>
                <w:b/>
                <w:bCs/>
                <w:color w:val="auto"/>
                <w:kern w:val="0"/>
                <w:sz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44"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w:t>
            </w:r>
          </w:p>
        </w:tc>
        <w:tc>
          <w:tcPr>
            <w:tcW w:w="1080" w:type="dxa"/>
            <w:vAlign w:val="center"/>
          </w:tcPr>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维修项目工时费</w:t>
            </w:r>
          </w:p>
          <w:p>
            <w:pPr>
              <w:widowControl/>
              <w:jc w:val="center"/>
              <w:rPr>
                <w:color w:val="auto"/>
                <w:highlight w:val="none"/>
              </w:rPr>
            </w:pPr>
            <w:r>
              <w:rPr>
                <w:rFonts w:hint="eastAsia" w:ascii="宋体" w:hAnsi="宋体" w:eastAsia="宋体" w:cs="宋体"/>
                <w:color w:val="auto"/>
                <w:kern w:val="0"/>
                <w:szCs w:val="21"/>
                <w:highlight w:val="none"/>
                <w:lang w:bidi="ar"/>
              </w:rPr>
              <w:t>(10分)</w:t>
            </w:r>
          </w:p>
        </w:tc>
        <w:tc>
          <w:tcPr>
            <w:tcW w:w="7612" w:type="dxa"/>
            <w:vAlign w:val="center"/>
          </w:tcPr>
          <w:p>
            <w:pPr>
              <w:widowControl/>
              <w:ind w:firstLine="315" w:firstLineChars="150"/>
              <w:jc w:val="left"/>
              <w:rPr>
                <w:rFonts w:ascii="新宋体" w:hAnsi="新宋体" w:eastAsia="新宋体" w:cs="新宋体"/>
                <w:b/>
                <w:bCs/>
                <w:color w:val="auto"/>
                <w:kern w:val="0"/>
                <w:sz w:val="24"/>
                <w:highlight w:val="none"/>
                <w:lang w:bidi="ar"/>
              </w:rPr>
            </w:pPr>
            <w:r>
              <w:rPr>
                <w:rFonts w:hint="eastAsia" w:ascii="宋体" w:hAnsi="宋体" w:eastAsia="宋体" w:cs="宋体"/>
                <w:color w:val="auto"/>
                <w:kern w:val="0"/>
                <w:szCs w:val="21"/>
                <w:highlight w:val="none"/>
                <w:lang w:bidi="ar"/>
              </w:rPr>
              <w:t>计算价格评分：价格分统一采用低价优先法计算，各合格的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的报价（维修项目工时费下浮率）中，取最优惠价（维修项目工时费下浮率）为采购基准价，其价格分为满分。其他合格的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的价格分统一按照下列公式计算：价格评分=（报价／采购基准价）×</w:t>
            </w:r>
            <w:r>
              <w:rPr>
                <w:rFonts w:hint="eastAsia" w:ascii="宋体" w:hAnsi="宋体" w:eastAsia="宋体" w:cs="宋体"/>
                <w:color w:val="auto"/>
                <w:kern w:val="0"/>
                <w:szCs w:val="21"/>
                <w:highlight w:val="none"/>
                <w:u w:val="single"/>
                <w:lang w:bidi="ar"/>
              </w:rPr>
              <w:t xml:space="preserve"> 10 </w:t>
            </w:r>
            <w:r>
              <w:rPr>
                <w:rFonts w:hint="eastAsia" w:ascii="宋体" w:hAnsi="宋体" w:eastAsia="宋体" w:cs="宋体"/>
                <w:color w:val="auto"/>
                <w:kern w:val="0"/>
                <w:szCs w:val="21"/>
                <w:highlight w:val="none"/>
                <w:lang w:bidi="ar"/>
              </w:rPr>
              <w:t xml:space="preserve">分。 </w:t>
            </w: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20"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trPr>
        <w:tc>
          <w:tcPr>
            <w:tcW w:w="444"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2</w:t>
            </w:r>
          </w:p>
        </w:tc>
        <w:tc>
          <w:tcPr>
            <w:tcW w:w="1080" w:type="dxa"/>
            <w:vAlign w:val="center"/>
          </w:tcPr>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维修材料管理费率</w:t>
            </w:r>
          </w:p>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(5分)</w:t>
            </w:r>
          </w:p>
        </w:tc>
        <w:tc>
          <w:tcPr>
            <w:tcW w:w="7612" w:type="dxa"/>
            <w:vAlign w:val="center"/>
          </w:tcPr>
          <w:p>
            <w:pPr>
              <w:widowControl/>
              <w:ind w:firstLine="315" w:firstLineChars="150"/>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计算价格评分：价格分统一采用低价优先法计算，各合格的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的报价（维修材料管理费率）中，取最优惠价（维修材料管理费率）为采购基准价，其价格分为满分。其他合格的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的价格分统一按照下列公式计算：价格评分=（采购基准价／报价）×</w:t>
            </w:r>
            <w:r>
              <w:rPr>
                <w:rFonts w:hint="eastAsia" w:ascii="宋体" w:hAnsi="宋体" w:eastAsia="宋体" w:cs="宋体"/>
                <w:color w:val="auto"/>
                <w:kern w:val="0"/>
                <w:szCs w:val="21"/>
                <w:highlight w:val="none"/>
                <w:u w:val="single"/>
                <w:lang w:bidi="ar"/>
              </w:rPr>
              <w:t xml:space="preserve"> 5 </w:t>
            </w:r>
            <w:r>
              <w:rPr>
                <w:rFonts w:hint="eastAsia" w:ascii="宋体" w:hAnsi="宋体" w:eastAsia="宋体" w:cs="宋体"/>
                <w:color w:val="auto"/>
                <w:kern w:val="0"/>
                <w:szCs w:val="21"/>
                <w:highlight w:val="none"/>
                <w:lang w:bidi="ar"/>
              </w:rPr>
              <w:t xml:space="preserve">分。 </w:t>
            </w: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20"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trPr>
        <w:tc>
          <w:tcPr>
            <w:tcW w:w="444" w:type="dxa"/>
            <w:vAlign w:val="center"/>
          </w:tcPr>
          <w:p>
            <w:pPr>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3</w:t>
            </w:r>
          </w:p>
        </w:tc>
        <w:tc>
          <w:tcPr>
            <w:tcW w:w="1080" w:type="dxa"/>
            <w:vAlign w:val="center"/>
          </w:tcPr>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年审费</w:t>
            </w:r>
          </w:p>
          <w:p>
            <w:pPr>
              <w:widowControl/>
              <w:jc w:val="center"/>
              <w:rPr>
                <w:color w:val="auto"/>
                <w:highlight w:val="none"/>
              </w:rPr>
            </w:pPr>
            <w:r>
              <w:rPr>
                <w:rFonts w:hint="eastAsia" w:ascii="宋体" w:hAnsi="宋体" w:eastAsia="宋体" w:cs="宋体"/>
                <w:color w:val="auto"/>
                <w:kern w:val="0"/>
                <w:szCs w:val="21"/>
                <w:highlight w:val="none"/>
                <w:lang w:bidi="ar"/>
              </w:rPr>
              <w:t>(5分)</w:t>
            </w:r>
          </w:p>
        </w:tc>
        <w:tc>
          <w:tcPr>
            <w:tcW w:w="7612" w:type="dxa"/>
            <w:vAlign w:val="center"/>
          </w:tcPr>
          <w:p>
            <w:pPr>
              <w:widowControl/>
              <w:ind w:firstLine="315" w:firstLineChars="150"/>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计算价格评分：价格分统一采用低价优先法计算，各合格的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的报价（年审费下浮率）中，取最优惠价（年审费下浮率）为采购基准价，其价格分为满分。其他合格的</w:t>
            </w:r>
            <w:r>
              <w:rPr>
                <w:rFonts w:hint="eastAsia" w:ascii="宋体" w:hAnsi="宋体" w:eastAsia="宋体" w:cs="宋体"/>
                <w:color w:val="auto"/>
                <w:kern w:val="0"/>
                <w:szCs w:val="21"/>
                <w:highlight w:val="none"/>
                <w:lang w:eastAsia="zh-CN" w:bidi="ar"/>
              </w:rPr>
              <w:t>报价人</w:t>
            </w:r>
            <w:r>
              <w:rPr>
                <w:rFonts w:hint="eastAsia" w:ascii="宋体" w:hAnsi="宋体" w:eastAsia="宋体" w:cs="宋体"/>
                <w:color w:val="auto"/>
                <w:kern w:val="0"/>
                <w:szCs w:val="21"/>
                <w:highlight w:val="none"/>
                <w:lang w:bidi="ar"/>
              </w:rPr>
              <w:t>的价格分统一按照下列公式计算：价格评分=（报价／采购基准价）×</w:t>
            </w:r>
            <w:r>
              <w:rPr>
                <w:rFonts w:hint="eastAsia" w:ascii="宋体" w:hAnsi="宋体" w:eastAsia="宋体" w:cs="宋体"/>
                <w:color w:val="auto"/>
                <w:kern w:val="0"/>
                <w:szCs w:val="21"/>
                <w:highlight w:val="none"/>
                <w:u w:val="single"/>
                <w:lang w:bidi="ar"/>
              </w:rPr>
              <w:t xml:space="preserve"> 5 </w:t>
            </w:r>
            <w:r>
              <w:rPr>
                <w:rFonts w:hint="eastAsia" w:ascii="宋体" w:hAnsi="宋体" w:eastAsia="宋体" w:cs="宋体"/>
                <w:color w:val="auto"/>
                <w:kern w:val="0"/>
                <w:szCs w:val="21"/>
                <w:highlight w:val="none"/>
                <w:lang w:bidi="ar"/>
              </w:rPr>
              <w:t xml:space="preserve">分。 </w:t>
            </w:r>
          </w:p>
        </w:tc>
        <w:tc>
          <w:tcPr>
            <w:tcW w:w="817" w:type="dxa"/>
            <w:vAlign w:val="center"/>
          </w:tcPr>
          <w:p>
            <w:pPr>
              <w:widowControl/>
              <w:jc w:val="center"/>
              <w:rPr>
                <w:rFonts w:ascii="宋体" w:hAnsi="宋体" w:eastAsia="宋体" w:cs="宋体"/>
                <w:color w:val="auto"/>
                <w:kern w:val="0"/>
                <w:sz w:val="24"/>
                <w:highlight w:val="none"/>
                <w:lang w:bidi="ar"/>
              </w:rPr>
            </w:pPr>
          </w:p>
        </w:tc>
        <w:tc>
          <w:tcPr>
            <w:tcW w:w="817" w:type="dxa"/>
            <w:vAlign w:val="center"/>
          </w:tcPr>
          <w:p>
            <w:pPr>
              <w:widowControl/>
              <w:jc w:val="center"/>
              <w:rPr>
                <w:rFonts w:ascii="宋体" w:hAnsi="宋体" w:eastAsia="宋体" w:cs="宋体"/>
                <w:color w:val="auto"/>
                <w:kern w:val="0"/>
                <w:sz w:val="24"/>
                <w:highlight w:val="none"/>
                <w:lang w:bidi="ar"/>
              </w:rPr>
            </w:pPr>
          </w:p>
        </w:tc>
        <w:tc>
          <w:tcPr>
            <w:tcW w:w="817" w:type="dxa"/>
            <w:vAlign w:val="center"/>
          </w:tcPr>
          <w:p>
            <w:pPr>
              <w:widowControl/>
              <w:jc w:val="center"/>
              <w:rPr>
                <w:rFonts w:ascii="宋体" w:hAnsi="宋体" w:eastAsia="宋体" w:cs="宋体"/>
                <w:color w:val="auto"/>
                <w:kern w:val="0"/>
                <w:sz w:val="24"/>
                <w:highlight w:val="none"/>
                <w:lang w:bidi="ar"/>
              </w:rPr>
            </w:pPr>
          </w:p>
        </w:tc>
        <w:tc>
          <w:tcPr>
            <w:tcW w:w="817" w:type="dxa"/>
            <w:vAlign w:val="center"/>
          </w:tcPr>
          <w:p>
            <w:pPr>
              <w:widowControl/>
              <w:jc w:val="center"/>
              <w:rPr>
                <w:rFonts w:ascii="宋体" w:hAnsi="宋体" w:eastAsia="宋体" w:cs="宋体"/>
                <w:color w:val="auto"/>
                <w:kern w:val="0"/>
                <w:sz w:val="24"/>
                <w:highlight w:val="none"/>
                <w:lang w:bidi="ar"/>
              </w:rPr>
            </w:pPr>
          </w:p>
        </w:tc>
        <w:tc>
          <w:tcPr>
            <w:tcW w:w="817" w:type="dxa"/>
            <w:vAlign w:val="center"/>
          </w:tcPr>
          <w:p>
            <w:pPr>
              <w:widowControl/>
              <w:jc w:val="center"/>
              <w:rPr>
                <w:rFonts w:ascii="宋体" w:hAnsi="宋体" w:eastAsia="宋体" w:cs="宋体"/>
                <w:color w:val="auto"/>
                <w:kern w:val="0"/>
                <w:sz w:val="24"/>
                <w:highlight w:val="none"/>
                <w:lang w:bidi="ar"/>
              </w:rPr>
            </w:pPr>
          </w:p>
        </w:tc>
        <w:tc>
          <w:tcPr>
            <w:tcW w:w="820"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36" w:type="dxa"/>
            <w:gridSpan w:val="3"/>
            <w:vAlign w:val="center"/>
          </w:tcPr>
          <w:p>
            <w:pPr>
              <w:widowControl/>
              <w:jc w:val="center"/>
              <w:rPr>
                <w:rFonts w:ascii="新宋体" w:hAnsi="新宋体" w:eastAsia="新宋体" w:cs="新宋体"/>
                <w:b/>
                <w:bCs/>
                <w:color w:val="auto"/>
                <w:kern w:val="0"/>
                <w:sz w:val="24"/>
                <w:highlight w:val="none"/>
                <w:lang w:bidi="ar"/>
              </w:rPr>
            </w:pPr>
            <w:r>
              <w:rPr>
                <w:rFonts w:ascii="宋体" w:hAnsi="宋体" w:eastAsia="宋体" w:cs="宋体"/>
                <w:b/>
                <w:bCs/>
                <w:color w:val="auto"/>
                <w:kern w:val="0"/>
                <w:sz w:val="24"/>
                <w:highlight w:val="none"/>
                <w:lang w:bidi="ar"/>
              </w:rPr>
              <w:t>合计</w:t>
            </w: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17" w:type="dxa"/>
            <w:vAlign w:val="center"/>
          </w:tcPr>
          <w:p>
            <w:pPr>
              <w:widowControl/>
              <w:jc w:val="center"/>
              <w:rPr>
                <w:rFonts w:ascii="新宋体" w:hAnsi="新宋体" w:eastAsia="新宋体" w:cs="新宋体"/>
                <w:b/>
                <w:bCs/>
                <w:color w:val="auto"/>
                <w:kern w:val="0"/>
                <w:sz w:val="24"/>
                <w:highlight w:val="none"/>
                <w:lang w:bidi="ar"/>
              </w:rPr>
            </w:pPr>
          </w:p>
        </w:tc>
        <w:tc>
          <w:tcPr>
            <w:tcW w:w="820" w:type="dxa"/>
            <w:vAlign w:val="center"/>
          </w:tcPr>
          <w:p>
            <w:pPr>
              <w:widowControl/>
              <w:jc w:val="center"/>
              <w:rPr>
                <w:rFonts w:ascii="新宋体" w:hAnsi="新宋体" w:eastAsia="新宋体" w:cs="新宋体"/>
                <w:b/>
                <w:bCs/>
                <w:color w:val="auto"/>
                <w:kern w:val="0"/>
                <w:sz w:val="24"/>
                <w:highlight w:val="none"/>
                <w:lang w:bidi="ar"/>
              </w:rPr>
            </w:pPr>
          </w:p>
        </w:tc>
      </w:tr>
    </w:tbl>
    <w:p>
      <w:pPr>
        <w:widowControl/>
        <w:ind w:firstLine="420" w:firstLineChars="200"/>
        <w:jc w:val="left"/>
        <w:rPr>
          <w:color w:val="auto"/>
          <w:sz w:val="21"/>
          <w:szCs w:val="21"/>
          <w:highlight w:val="none"/>
        </w:rPr>
      </w:pPr>
      <w:r>
        <w:rPr>
          <w:rFonts w:hint="eastAsia" w:ascii="宋体" w:hAnsi="宋体" w:eastAsia="宋体" w:cs="宋体"/>
          <w:color w:val="auto"/>
          <w:kern w:val="0"/>
          <w:sz w:val="21"/>
          <w:szCs w:val="21"/>
          <w:highlight w:val="none"/>
          <w:lang w:bidi="ar"/>
        </w:rPr>
        <w:t>注：评</w:t>
      </w:r>
      <w:r>
        <w:rPr>
          <w:rFonts w:hint="eastAsia" w:ascii="宋体" w:hAnsi="宋体" w:eastAsia="宋体" w:cs="宋体"/>
          <w:color w:val="auto"/>
          <w:kern w:val="0"/>
          <w:sz w:val="21"/>
          <w:szCs w:val="21"/>
          <w:highlight w:val="none"/>
          <w:lang w:eastAsia="zh-CN" w:bidi="ar"/>
        </w:rPr>
        <w:t>审小组</w:t>
      </w:r>
      <w:r>
        <w:rPr>
          <w:rFonts w:hint="eastAsia" w:ascii="宋体" w:hAnsi="宋体" w:eastAsia="宋体" w:cs="宋体"/>
          <w:color w:val="auto"/>
          <w:kern w:val="0"/>
          <w:sz w:val="21"/>
          <w:szCs w:val="21"/>
          <w:highlight w:val="none"/>
          <w:lang w:bidi="ar"/>
        </w:rPr>
        <w:t xml:space="preserve">根据计分方法进行相应地打分, 分值保留小数点后二位小数。 </w:t>
      </w:r>
    </w:p>
    <w:p>
      <w:pPr>
        <w:rPr>
          <w:rFonts w:ascii="新宋体" w:hAnsi="新宋体" w:eastAsia="新宋体" w:cs="新宋体"/>
          <w:b/>
          <w:bCs/>
          <w:color w:val="auto"/>
          <w:kern w:val="0"/>
          <w:sz w:val="24"/>
          <w:highlight w:val="none"/>
          <w:lang w:bidi="ar"/>
        </w:rPr>
      </w:pPr>
    </w:p>
    <w:p>
      <w:pPr>
        <w:rPr>
          <w:rFonts w:hint="eastAsia" w:ascii="宋体" w:hAnsi="宋体" w:eastAsia="宋体" w:cs="宋体"/>
          <w:bCs/>
          <w:color w:val="auto"/>
          <w:highlight w:val="none"/>
        </w:rPr>
      </w:pPr>
    </w:p>
    <w:p>
      <w:pPr>
        <w:rPr>
          <w:rFonts w:ascii="宋体" w:hAnsi="宋体" w:eastAsia="宋体" w:cs="宋体"/>
          <w:b/>
          <w:bCs/>
          <w:color w:val="auto"/>
          <w:kern w:val="0"/>
          <w:sz w:val="32"/>
          <w:szCs w:val="32"/>
          <w:highlight w:val="none"/>
          <w:lang w:bidi="ar"/>
        </w:rPr>
      </w:pPr>
      <w:r>
        <w:rPr>
          <w:rFonts w:hint="eastAsia" w:ascii="宋体" w:hAnsi="宋体" w:eastAsia="宋体" w:cs="宋体"/>
          <w:bCs/>
          <w:color w:val="auto"/>
          <w:highlight w:val="none"/>
        </w:rPr>
        <w:t xml:space="preserve">评委签名：  </w:t>
      </w:r>
      <w:r>
        <w:rPr>
          <w:rFonts w:ascii="宋体" w:hAnsi="宋体" w:eastAsia="宋体" w:cs="宋体"/>
          <w:b/>
          <w:bCs/>
          <w:color w:val="auto"/>
          <w:kern w:val="0"/>
          <w:sz w:val="32"/>
          <w:szCs w:val="32"/>
          <w:highlight w:val="none"/>
          <w:lang w:bidi="ar"/>
        </w:rPr>
        <w:br w:type="page"/>
      </w:r>
    </w:p>
    <w:p>
      <w:pPr>
        <w:rPr>
          <w:rFonts w:ascii="宋体" w:hAnsi="宋体" w:eastAsia="宋体" w:cs="宋体"/>
          <w:b/>
          <w:bCs/>
          <w:color w:val="auto"/>
          <w:kern w:val="0"/>
          <w:sz w:val="32"/>
          <w:szCs w:val="32"/>
          <w:highlight w:val="none"/>
          <w:lang w:bidi="ar"/>
        </w:rPr>
      </w:pPr>
    </w:p>
    <w:p>
      <w:pPr>
        <w:adjustRightInd w:val="0"/>
        <w:snapToGrid w:val="0"/>
        <w:spacing w:line="360" w:lineRule="auto"/>
        <w:jc w:val="center"/>
        <w:rPr>
          <w:rFonts w:ascii="宋体" w:hAnsi="宋体" w:eastAsia="宋体"/>
          <w:bCs/>
          <w:color w:val="auto"/>
          <w:sz w:val="30"/>
          <w:szCs w:val="30"/>
          <w:highlight w:val="none"/>
        </w:rPr>
      </w:pPr>
      <w:r>
        <w:rPr>
          <w:rFonts w:hint="eastAsia" w:ascii="新宋体" w:hAnsi="新宋体" w:eastAsia="新宋体" w:cs="新宋体"/>
          <w:b/>
          <w:bCs/>
          <w:color w:val="auto"/>
          <w:kern w:val="0"/>
          <w:sz w:val="30"/>
          <w:szCs w:val="30"/>
          <w:highlight w:val="none"/>
          <w:lang w:bidi="ar"/>
        </w:rPr>
        <w:t>附表</w:t>
      </w:r>
      <w:r>
        <w:rPr>
          <w:rFonts w:hint="eastAsia" w:ascii="新宋体" w:hAnsi="新宋体" w:eastAsia="新宋体" w:cs="新宋体"/>
          <w:b/>
          <w:bCs/>
          <w:color w:val="auto"/>
          <w:kern w:val="0"/>
          <w:sz w:val="30"/>
          <w:szCs w:val="30"/>
          <w:highlight w:val="none"/>
          <w:lang w:eastAsia="zh-CN" w:bidi="ar"/>
        </w:rPr>
        <w:t>五</w:t>
      </w:r>
      <w:r>
        <w:rPr>
          <w:rFonts w:hint="eastAsia" w:ascii="新宋体" w:hAnsi="新宋体" w:eastAsia="新宋体" w:cs="新宋体"/>
          <w:b/>
          <w:bCs/>
          <w:color w:val="auto"/>
          <w:kern w:val="0"/>
          <w:sz w:val="30"/>
          <w:szCs w:val="30"/>
          <w:highlight w:val="none"/>
          <w:lang w:val="en-US" w:eastAsia="zh-CN" w:bidi="ar"/>
        </w:rPr>
        <w:t xml:space="preserve"> </w:t>
      </w:r>
      <w:r>
        <w:rPr>
          <w:rFonts w:hint="eastAsia" w:ascii="新宋体" w:hAnsi="新宋体" w:eastAsia="新宋体" w:cs="新宋体"/>
          <w:b/>
          <w:bCs/>
          <w:color w:val="auto"/>
          <w:kern w:val="0"/>
          <w:sz w:val="30"/>
          <w:szCs w:val="30"/>
          <w:highlight w:val="none"/>
          <w:lang w:bidi="ar"/>
        </w:rPr>
        <w:t xml:space="preserve"> </w:t>
      </w:r>
      <w:r>
        <w:rPr>
          <w:rFonts w:hint="eastAsia" w:ascii="宋体" w:hAnsi="宋体" w:cs="宋体"/>
          <w:b/>
          <w:color w:val="auto"/>
          <w:sz w:val="28"/>
          <w:szCs w:val="28"/>
          <w:highlight w:val="none"/>
        </w:rPr>
        <w:t>综合得分汇总表</w:t>
      </w:r>
    </w:p>
    <w:tbl>
      <w:tblPr>
        <w:tblStyle w:val="12"/>
        <w:tblW w:w="13316" w:type="dxa"/>
        <w:jc w:val="center"/>
        <w:tblLayout w:type="fixed"/>
        <w:tblCellMar>
          <w:top w:w="0" w:type="dxa"/>
          <w:left w:w="108" w:type="dxa"/>
          <w:bottom w:w="0" w:type="dxa"/>
          <w:right w:w="108" w:type="dxa"/>
        </w:tblCellMar>
      </w:tblPr>
      <w:tblGrid>
        <w:gridCol w:w="735"/>
        <w:gridCol w:w="5710"/>
        <w:gridCol w:w="1366"/>
        <w:gridCol w:w="1185"/>
        <w:gridCol w:w="1230"/>
        <w:gridCol w:w="1246"/>
        <w:gridCol w:w="1844"/>
      </w:tblGrid>
      <w:tr>
        <w:tblPrEx>
          <w:tblCellMar>
            <w:top w:w="0" w:type="dxa"/>
            <w:left w:w="108" w:type="dxa"/>
            <w:bottom w:w="0" w:type="dxa"/>
            <w:right w:w="108" w:type="dxa"/>
          </w:tblCellMar>
        </w:tblPrEx>
        <w:trPr>
          <w:trHeight w:val="618"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eastAsia="宋体" w:cs="宋体"/>
                <w:bCs/>
                <w:color w:val="auto"/>
                <w:highlight w:val="none"/>
              </w:rPr>
            </w:pPr>
            <w:r>
              <w:rPr>
                <w:rFonts w:hint="eastAsia" w:ascii="宋体" w:hAnsi="宋体" w:eastAsia="宋体" w:cs="宋体"/>
                <w:bCs/>
                <w:color w:val="auto"/>
                <w:highlight w:val="none"/>
              </w:rPr>
              <w:t>序号</w:t>
            </w:r>
          </w:p>
        </w:tc>
        <w:tc>
          <w:tcPr>
            <w:tcW w:w="5710" w:type="dxa"/>
            <w:tcBorders>
              <w:top w:val="single" w:color="auto" w:sz="4" w:space="0"/>
              <w:left w:val="single" w:color="auto" w:sz="4" w:space="0"/>
              <w:bottom w:val="single" w:color="auto" w:sz="4" w:space="0"/>
              <w:right w:val="single" w:color="auto" w:sz="4" w:space="0"/>
              <w:tl2br w:val="single" w:color="auto" w:sz="4" w:space="0"/>
            </w:tcBorders>
          </w:tcPr>
          <w:p>
            <w:pPr>
              <w:adjustRightInd w:val="0"/>
              <w:snapToGrid w:val="0"/>
              <w:ind w:firstLine="4200" w:firstLineChars="2000"/>
              <w:rPr>
                <w:rFonts w:ascii="宋体" w:hAnsi="宋体" w:eastAsia="宋体" w:cs="宋体"/>
                <w:bCs/>
                <w:color w:val="auto"/>
                <w:highlight w:val="none"/>
              </w:rPr>
            </w:pPr>
            <w:r>
              <w:rPr>
                <w:rFonts w:hint="eastAsia" w:ascii="宋体" w:hAnsi="宋体" w:eastAsia="宋体" w:cs="宋体"/>
                <w:bCs/>
                <w:color w:val="auto"/>
                <w:highlight w:val="none"/>
              </w:rPr>
              <w:t>得分</w:t>
            </w:r>
          </w:p>
          <w:p>
            <w:pPr>
              <w:adjustRightInd w:val="0"/>
              <w:snapToGrid w:val="0"/>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eastAsia="zh-CN"/>
              </w:rPr>
              <w:t>报价人</w:t>
            </w:r>
          </w:p>
        </w:tc>
        <w:tc>
          <w:tcPr>
            <w:tcW w:w="13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商务得分</w:t>
            </w:r>
          </w:p>
        </w:tc>
        <w:tc>
          <w:tcPr>
            <w:tcW w:w="11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技术得分</w:t>
            </w:r>
          </w:p>
        </w:tc>
        <w:tc>
          <w:tcPr>
            <w:tcW w:w="123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ascii="宋体" w:hAnsi="宋体" w:eastAsia="宋体" w:cs="宋体"/>
                <w:bCs/>
                <w:color w:val="auto"/>
                <w:highlight w:val="none"/>
              </w:rPr>
              <w:t>报价得分</w:t>
            </w: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综合得分</w:t>
            </w: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eastAsia="宋体" w:cs="宋体"/>
                <w:bCs/>
                <w:color w:val="auto"/>
                <w:highlight w:val="none"/>
              </w:rPr>
            </w:pPr>
            <w:r>
              <w:rPr>
                <w:rFonts w:hint="eastAsia" w:ascii="宋体" w:hAnsi="宋体" w:eastAsia="宋体" w:cs="宋体"/>
                <w:bCs/>
                <w:color w:val="auto"/>
                <w:highlight w:val="none"/>
              </w:rPr>
              <w:t>综合得分排名</w:t>
            </w: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1</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2</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3</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4</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5</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r>
        <w:tblPrEx>
          <w:tblCellMar>
            <w:top w:w="0" w:type="dxa"/>
            <w:left w:w="108" w:type="dxa"/>
            <w:bottom w:w="0" w:type="dxa"/>
            <w:right w:w="108" w:type="dxa"/>
          </w:tblCellMar>
        </w:tblPrEx>
        <w:trPr>
          <w:trHeight w:val="45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eastAsia="宋体" w:cs="宋体"/>
                <w:bCs/>
                <w:color w:val="auto"/>
                <w:highlight w:val="none"/>
              </w:rPr>
            </w:pPr>
            <w:r>
              <w:rPr>
                <w:rFonts w:hint="eastAsia" w:ascii="宋体" w:hAnsi="宋体" w:eastAsia="宋体" w:cs="宋体"/>
                <w:bCs/>
                <w:color w:val="auto"/>
                <w:highlight w:val="none"/>
              </w:rPr>
              <w:t>…</w:t>
            </w:r>
          </w:p>
        </w:tc>
        <w:tc>
          <w:tcPr>
            <w:tcW w:w="57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366"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185"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30"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rPr>
                <w:rFonts w:ascii="宋体" w:hAnsi="宋体" w:eastAsia="宋体" w:cs="宋体"/>
                <w:bCs/>
                <w:color w:val="auto"/>
                <w:highlight w:val="none"/>
              </w:rPr>
            </w:pPr>
          </w:p>
        </w:tc>
        <w:tc>
          <w:tcPr>
            <w:tcW w:w="124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c>
          <w:tcPr>
            <w:tcW w:w="18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eastAsia="宋体" w:cs="宋体"/>
                <w:bCs/>
                <w:color w:val="auto"/>
                <w:highlight w:val="none"/>
              </w:rPr>
            </w:pPr>
          </w:p>
        </w:tc>
      </w:tr>
    </w:tbl>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r>
        <w:rPr>
          <w:rFonts w:hint="eastAsia" w:ascii="宋体" w:hAnsi="宋体" w:eastAsia="宋体" w:cs="宋体"/>
          <w:bCs/>
          <w:color w:val="auto"/>
          <w:highlight w:val="none"/>
        </w:rPr>
        <w:t>注：1.取全部评委的技术评审评分的算术平均值即为该</w:t>
      </w:r>
      <w:r>
        <w:rPr>
          <w:rFonts w:hint="eastAsia" w:ascii="宋体" w:hAnsi="宋体" w:eastAsia="宋体" w:cs="宋体"/>
          <w:bCs/>
          <w:color w:val="auto"/>
          <w:highlight w:val="none"/>
          <w:lang w:eastAsia="zh-CN"/>
        </w:rPr>
        <w:t>报价人</w:t>
      </w:r>
      <w:r>
        <w:rPr>
          <w:rFonts w:hint="eastAsia" w:ascii="宋体" w:hAnsi="宋体" w:eastAsia="宋体" w:cs="宋体"/>
          <w:bCs/>
          <w:color w:val="auto"/>
          <w:highlight w:val="none"/>
        </w:rPr>
        <w:t>的技术得分。</w:t>
      </w:r>
      <w:r>
        <w:rPr>
          <w:rFonts w:hint="eastAsia" w:ascii="宋体" w:hAnsi="宋体" w:eastAsia="宋体" w:cs="Times New Roman"/>
          <w:bCs/>
          <w:color w:val="auto"/>
          <w:highlight w:val="none"/>
        </w:rPr>
        <w:t>评分如出现小数点，则保留小数点后两位，第三位四舍五入；</w:t>
      </w:r>
    </w:p>
    <w:p>
      <w:pPr>
        <w:pStyle w:val="10"/>
        <w:adjustRightInd w:val="0"/>
        <w:snapToGrid w:val="0"/>
        <w:spacing w:after="0" w:line="360" w:lineRule="auto"/>
        <w:ind w:firstLine="480" w:firstLineChars="200"/>
        <w:rPr>
          <w:rFonts w:ascii="宋体" w:hAnsi="宋体" w:eastAsia="宋体" w:cs="宋体"/>
          <w:bCs/>
          <w:color w:val="auto"/>
          <w:sz w:val="24"/>
          <w:highlight w:val="none"/>
        </w:rPr>
      </w:pPr>
      <w:r>
        <w:rPr>
          <w:rFonts w:hint="eastAsia" w:ascii="宋体" w:hAnsi="宋体" w:eastAsia="宋体" w:cs="宋体"/>
          <w:bCs/>
          <w:color w:val="auto"/>
          <w:sz w:val="24"/>
          <w:highlight w:val="none"/>
        </w:rPr>
        <w:t>2.</w:t>
      </w:r>
      <w:r>
        <w:rPr>
          <w:rFonts w:hint="eastAsia" w:ascii="宋体" w:hAnsi="宋体" w:eastAsia="宋体" w:cs="宋体"/>
          <w:bCs/>
          <w:color w:val="auto"/>
          <w:sz w:val="24"/>
          <w:highlight w:val="none"/>
          <w:lang w:eastAsia="zh-CN"/>
        </w:rPr>
        <w:t>报价人</w:t>
      </w:r>
      <w:r>
        <w:rPr>
          <w:rFonts w:hint="eastAsia" w:ascii="宋体" w:hAnsi="宋体" w:eastAsia="宋体" w:cs="宋体"/>
          <w:bCs/>
          <w:color w:val="auto"/>
          <w:sz w:val="24"/>
          <w:highlight w:val="none"/>
        </w:rPr>
        <w:t>综合得分=商务得分＋技术得分＋报价得分。</w:t>
      </w: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Cs/>
          <w:color w:val="auto"/>
          <w:highlight w:val="none"/>
        </w:rPr>
        <w:t xml:space="preserve">评委签名：   </w:t>
      </w:r>
      <w:r>
        <w:rPr>
          <w:rFonts w:hint="eastAsia" w:ascii="宋体" w:hAnsi="宋体" w:eastAsia="宋体" w:cs="宋体"/>
          <w:bCs/>
          <w:color w:val="auto"/>
          <w:highlight w:val="none"/>
        </w:rPr>
        <w:br w:type="page"/>
      </w:r>
    </w:p>
    <w:p>
      <w:pPr>
        <w:widowControl/>
        <w:jc w:val="center"/>
        <w:rPr>
          <w:color w:val="auto"/>
          <w:sz w:val="32"/>
          <w:szCs w:val="32"/>
          <w:highlight w:val="none"/>
        </w:rPr>
      </w:pPr>
      <w:r>
        <w:rPr>
          <w:rFonts w:ascii="宋体" w:hAnsi="宋体" w:eastAsia="宋体" w:cs="宋体"/>
          <w:b/>
          <w:bCs/>
          <w:color w:val="auto"/>
          <w:kern w:val="0"/>
          <w:sz w:val="32"/>
          <w:szCs w:val="32"/>
          <w:highlight w:val="none"/>
          <w:lang w:bidi="ar"/>
        </w:rPr>
        <w:t>第四部分 最高询比限价</w:t>
      </w:r>
    </w:p>
    <w:p>
      <w:pPr>
        <w:widowControl/>
        <w:jc w:val="left"/>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bidi="ar"/>
        </w:rPr>
        <w:t>一、维修项目工时费最高限价</w:t>
      </w:r>
    </w:p>
    <w:p>
      <w:pPr>
        <w:widowControl/>
        <w:jc w:val="center"/>
        <w:rPr>
          <w:color w:val="auto"/>
          <w:sz w:val="28"/>
          <w:szCs w:val="28"/>
          <w:highlight w:val="none"/>
        </w:rPr>
      </w:pPr>
      <w:r>
        <w:rPr>
          <w:rFonts w:ascii="宋体" w:hAnsi="宋体" w:eastAsia="宋体" w:cs="宋体"/>
          <w:b/>
          <w:bCs/>
          <w:color w:val="auto"/>
          <w:kern w:val="0"/>
          <w:sz w:val="28"/>
          <w:szCs w:val="28"/>
          <w:highlight w:val="none"/>
          <w:lang w:bidi="ar"/>
        </w:rPr>
        <w:t>车辆维修项目工时费明细表</w:t>
      </w:r>
    </w:p>
    <w:p>
      <w:pPr>
        <w:widowControl/>
        <w:jc w:val="right"/>
        <w:rPr>
          <w:color w:val="auto"/>
          <w:highlight w:val="none"/>
        </w:rPr>
      </w:pPr>
      <w:r>
        <w:rPr>
          <w:rFonts w:hint="eastAsia" w:ascii="宋体" w:hAnsi="宋体" w:eastAsia="宋体" w:cs="宋体"/>
          <w:color w:val="auto"/>
          <w:kern w:val="0"/>
          <w:sz w:val="24"/>
          <w:highlight w:val="none"/>
          <w:lang w:bidi="ar"/>
        </w:rPr>
        <w:t xml:space="preserve">（货币单位：人民币元）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780"/>
        <w:gridCol w:w="3525"/>
        <w:gridCol w:w="767"/>
        <w:gridCol w:w="833"/>
        <w:gridCol w:w="767"/>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类别</w:t>
            </w:r>
            <w:r>
              <w:rPr>
                <w:rFonts w:hint="eastAsia" w:ascii="新宋体" w:hAnsi="新宋体" w:eastAsia="新宋体" w:cs="新宋体"/>
                <w:b/>
                <w:bCs/>
                <w:color w:val="auto"/>
                <w:kern w:val="0"/>
                <w:szCs w:val="21"/>
                <w:highlight w:val="none"/>
                <w:lang w:bidi="ar"/>
              </w:rPr>
              <w:br w:type="page"/>
            </w:r>
          </w:p>
        </w:tc>
        <w:tc>
          <w:tcPr>
            <w:tcW w:w="780" w:type="dxa"/>
            <w:vMerge w:val="restart"/>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编号</w:t>
            </w:r>
          </w:p>
        </w:tc>
        <w:tc>
          <w:tcPr>
            <w:tcW w:w="3525" w:type="dxa"/>
            <w:vMerge w:val="restart"/>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w:t>
            </w:r>
          </w:p>
        </w:tc>
        <w:tc>
          <w:tcPr>
            <w:tcW w:w="2367" w:type="dxa"/>
            <w:gridSpan w:val="3"/>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工时费</w:t>
            </w:r>
          </w:p>
        </w:tc>
        <w:tc>
          <w:tcPr>
            <w:tcW w:w="986" w:type="dxa"/>
            <w:vMerge w:val="restart"/>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b/>
                <w:bCs/>
                <w:color w:val="auto"/>
                <w:kern w:val="0"/>
                <w:szCs w:val="21"/>
                <w:highlight w:val="none"/>
                <w:lang w:bidi="ar"/>
              </w:rPr>
            </w:pPr>
          </w:p>
        </w:tc>
        <w:tc>
          <w:tcPr>
            <w:tcW w:w="3525" w:type="dxa"/>
            <w:vMerge w:val="continue"/>
            <w:vAlign w:val="center"/>
          </w:tcPr>
          <w:p>
            <w:pPr>
              <w:jc w:val="center"/>
              <w:rPr>
                <w:rFonts w:ascii="新宋体" w:hAnsi="新宋体" w:eastAsia="新宋体" w:cs="新宋体"/>
                <w:b/>
                <w:bCs/>
                <w:color w:val="auto"/>
                <w:kern w:val="0"/>
                <w:szCs w:val="21"/>
                <w:highlight w:val="none"/>
                <w:lang w:bidi="ar"/>
              </w:rPr>
            </w:pPr>
          </w:p>
        </w:tc>
        <w:tc>
          <w:tcPr>
            <w:tcW w:w="767" w:type="dxa"/>
            <w:vAlign w:val="center"/>
          </w:tcPr>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3000CC </w:t>
            </w:r>
          </w:p>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以上</w:t>
            </w:r>
          </w:p>
        </w:tc>
        <w:tc>
          <w:tcPr>
            <w:tcW w:w="833" w:type="dxa"/>
            <w:vAlign w:val="center"/>
          </w:tcPr>
          <w:p>
            <w:pPr>
              <w:widowControl/>
              <w:jc w:val="center"/>
              <w:rPr>
                <w:color w:val="auto"/>
                <w:szCs w:val="21"/>
                <w:highlight w:val="none"/>
              </w:rPr>
            </w:pPr>
            <w:r>
              <w:rPr>
                <w:rFonts w:hint="eastAsia" w:ascii="宋体" w:hAnsi="宋体" w:eastAsia="宋体" w:cs="宋体"/>
                <w:color w:val="auto"/>
                <w:kern w:val="0"/>
                <w:szCs w:val="21"/>
                <w:highlight w:val="none"/>
                <w:lang w:bidi="ar"/>
              </w:rPr>
              <w:t>1800-</w:t>
            </w:r>
          </w:p>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3000CC</w:t>
            </w:r>
          </w:p>
        </w:tc>
        <w:tc>
          <w:tcPr>
            <w:tcW w:w="767" w:type="dxa"/>
            <w:vAlign w:val="center"/>
          </w:tcPr>
          <w:p>
            <w:pPr>
              <w:widowControl/>
              <w:jc w:val="center"/>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1800CC</w:t>
            </w:r>
          </w:p>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以下</w:t>
            </w:r>
          </w:p>
        </w:tc>
        <w:tc>
          <w:tcPr>
            <w:tcW w:w="986" w:type="dxa"/>
            <w:vMerge w:val="continue"/>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widowControl/>
              <w:jc w:val="center"/>
              <w:rPr>
                <w:color w:val="auto"/>
                <w:szCs w:val="21"/>
                <w:highlight w:val="none"/>
              </w:rPr>
            </w:pPr>
            <w:r>
              <w:rPr>
                <w:rFonts w:hint="eastAsia" w:ascii="宋体" w:hAnsi="宋体" w:eastAsia="宋体" w:cs="宋体"/>
                <w:color w:val="auto"/>
                <w:kern w:val="0"/>
                <w:szCs w:val="21"/>
                <w:highlight w:val="none"/>
                <w:lang w:bidi="ar"/>
              </w:rPr>
              <w:t>整车</w:t>
            </w:r>
          </w:p>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保养</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一级维护</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二级维护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103</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更换机油，机油滤清器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104</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更换波箱油（手动）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更换波箱油（自动）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更换波箱油（电控波箱）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107</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保养四轮刹车</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保养冷却系统</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109</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保养空调系统（不含加注雪种）</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保养转向系统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清洗发动机外表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201</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发动机大修（含吊装发动机）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2520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202</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吊装发动机总成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203</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更换发动机下挡泥板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204</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更换发动机左侧支承胶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205</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更换发动机右侧支承胶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206</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更换发动机后支承胶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207</w:t>
            </w:r>
          </w:p>
        </w:tc>
        <w:tc>
          <w:tcPr>
            <w:tcW w:w="3525" w:type="dxa"/>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清洗、调校喷油嘴（全车套）及节气门（4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594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486</w:t>
            </w:r>
          </w:p>
        </w:tc>
        <w:tc>
          <w:tcPr>
            <w:tcW w:w="986" w:type="dxa"/>
            <w:vAlign w:val="center"/>
          </w:tcPr>
          <w:p>
            <w:pPr>
              <w:jc w:val="center"/>
              <w:rPr>
                <w:rFonts w:ascii="新宋体" w:hAnsi="新宋体" w:eastAsia="新宋体" w:cs="新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清洗、调校喷油嘴（全车套）及节气门（6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检修发动机燃油喷射系统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2904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2376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取断头螺丝（支）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更换汽油泵（电动泵）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拆装燃油箱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拆装或更换谐振箱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更换防冻液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更换水泵及防冻液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拆装水箱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更换水道闷头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更换旁通水管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更换上水管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更换下水管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更换冷却风扇马达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拆装油底壳（不含吊装发动机）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更换曲轴后油封（含吊装波箱）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更换曲轴前油封（不含吊装发动机）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焊补排气管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更换排气管吊胶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拆装、更换排气管前段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拆装、更换排气管第二段</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拆装、更换排气管第三段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拆装、更换排气管尾段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拆装或更换空滤器总成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更换方向泵皮带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更换发电机皮带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更换空调皮带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更换正时皮带,调整配气正时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更换正时链,调整配气正时（不含吊装发动机）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576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皮带张紧力调节</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更换气缸垫（4 缸）</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更换气缸垫（6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拆装气门室盖</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更换油门拉线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更换电子油门（含解码）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废气检测</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检修起动机</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检修发电机</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检查、更换分火线，分火头及分火盖</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更换节温器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更换节温器盖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更换连接水管（水泵到节温器）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更换起动机总成</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更换发电机总成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更换发动机缸盖（4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更换发动机缸盖（6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更换机油集滤器（不含吊装发动机）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更换机油泵总成（不含吊装发动机）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更换曲轴皮带轮</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拆装处理排气管前端接口漏气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拆装进气岐管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拆装排气管岐管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更换风扇偶合器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检修汽油泵</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清洗燃油箱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拆装高压油泵（柴油）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清洗曲轴箱机油集滤器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研磨气门（支）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换发动机全套活塞环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换连杆轴承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检修空气压缩机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换机油感应器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检修离合器液压总泵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免拆清洗引擎油路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换发动机活塞、连杆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更换正时齿轮</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换机油感应器、测量机油压力</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检修气门漏气（4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检修气门漏气（6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换柴油机气缸垫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清洗更换燃油滤清器（外置式）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清洁怠速控制器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更换检查水温感应器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更换火花塞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检修正时皮带异响或漏油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检修更换机油格座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镶气门座（个）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油电路保养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发动机电脑检测</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调怠速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检修曲轴通风装置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清洗空气滤清器或更换滤芯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更换油箱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hint="eastAsia" w:ascii="宋体" w:hAnsi="宋体" w:eastAsia="宋体" w:cs="宋体"/>
                <w:color w:val="auto"/>
                <w:kern w:val="0"/>
                <w:szCs w:val="21"/>
                <w:highlight w:val="none"/>
                <w:lang w:bidi="ar"/>
              </w:rPr>
            </w:pPr>
          </w:p>
          <w:p>
            <w:pPr>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发动机</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检修正时链或齿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清理发动机积碳（4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清理发动机积碳（6 缸）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更换飞轮齿（含吊装波箱）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拆装清洗汽油喷嘴（支）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更换三元催化器（不含吊装发动机）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清洗或更换节气门阀体</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更换燃油蒸发控制装置</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检测、清洗废气再循环（EGR）系统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免拆清洗发动机气路系统</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免拆清洗曲轴箱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拆洗三元催化器（不含吊装发动机）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更换涡轮增压器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拆装清洗柴油喷油嘴（支）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传动系统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更换离合器片</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维修或保养离合器总泵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维修或保养离合器分泵</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分解、修理差速器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分解、修理自动变速箱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分解、修理手动变速箱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1296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吊装变速箱总成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572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拆装波箱油底壳</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更换波箱吊胶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更换或润滑波箱换挡拉索</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更换或润滑波箱油门拉索</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更换前驱动半轴（单边）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传动系统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更换半轴外球笼（单边）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更换半轴内球笼（单边）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更换半轴防尘套、保养球笼（单边）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换传动轴中间轴承或油封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换油箱支架胶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拆装后桥</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调校离合器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换传动轴万向节总成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换差速器油封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换半轴油封（单边）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更换轮毂轴承（轮）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检修挂档机构</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检修变速箱操纵机构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更换变速箱前油封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更换变速箱后油封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换离合器分离轴承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检修后轮壳油封漏油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更换波箱档位显示器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检测更换波箱电磁阀</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检修波箱液压油路板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1296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更换米表线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更换轮胎及动平衡（条）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更换传动轴吊胶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 P 档锁止开关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更换差速器油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外调校手刹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更换变速杆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IV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hint="eastAsia" w:ascii="新宋体" w:hAnsi="新宋体" w:eastAsia="新宋体" w:cs="新宋体"/>
                <w:b/>
                <w:bCs/>
                <w:color w:val="auto"/>
                <w:kern w:val="0"/>
                <w:szCs w:val="21"/>
                <w:highlight w:val="none"/>
                <w:lang w:bidi="ar"/>
              </w:rPr>
            </w:pPr>
          </w:p>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悬挂系统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前独立悬挂解体、修理（单边）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594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后独立悬挂解体、修理（单边）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更换后悬挂推杆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更换后悬挂稳定杆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更换轮胎螺丝（轮）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更换螺旋弹簧（支）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更换前减震器（支）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更换后减震器（支）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更换前轮避震器座胶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更换前轮定位拉杆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更换前上挂臂（单边）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更换前下挂臂（单边）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更换后轮上挂臂（单边）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更换后轮下挂臂（单边）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更换平衡杆胶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更换前平衡杆小连杆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拆装平衡杆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拆装或更换转向节（单边）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拆装前轮轴承（单边）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拆装后轮轴承（单边）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平衡轮胎（条）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更换轮胎，平衡轮胎（四轮）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更换钢圈，平衡轮胎（四轮）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更换发动机前横梁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更换发动机后横梁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换普通前避震器（支）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换普通后避震器（支）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检修前轮钢板弹簧断（单边）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检修后轮钢板弹簧断（单边）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检修铆前钢板支架座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检修铆后钢板支架座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悬挂系统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调校前桥扭杆弹簧</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换悬挂上、下球头（单边）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换转向节主销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更换钢板销及衬套</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换后钢板弹簧（单边）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更换前桥</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更换后桥</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调整转向角度</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检修横直拉杆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换扭杆式前叉板胶套及轴（单边）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检修更换转向辅助臂（个）</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检修可变悬架系统</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检修空压式悬架避震系统</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检修电子悬挂线路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更换前轮油封（轮）</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更换后轮油封（轮）</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制动系统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检修四轮刹车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更换前制动片</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更换后制动片（碟刹）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更换后制动蹄（鼓刹）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更换手刹片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更换后制动鼓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光整制动盘（个）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更换前制动盘</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更换后制动盘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更换制动踏板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镗制动鼓（个）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制动系统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检修制动总泵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更换制动总泵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检修制动分泵（碟）（个）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更换制动分泵（前）（个）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更换真空助力器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 ABS 执行器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 ABS 转速传感器（个）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更换车轮制动软管（条）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更换全车手刹拉线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调整手拉杆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换刹车比例阀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调校四轮刹车（含放空气）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更换刹车油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 ABS 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1728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转向系统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四轮定位检测、调整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前束检测、调整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更换方向机总成（齿条）（含四轮定位）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更换方向机总成（循环球）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大修方向机（齿条）（含四轮定位）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大修方向机（循环球）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更换方向助力油泵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拆装转向管柱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拆装转向横拉杆（内球头）（不含四轮定位）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拆装调整方向盘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更换方向机油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更换方向机防尘套（不含四轮定位）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调整方向盘间隙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转向系统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更换助力泵油壶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换方向机中尺</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换方向机高低压油管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检修或更换转向机电控系统</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更换方向机油散热器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更换方向盘</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换转向机十字轴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换方向锁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空调系统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补充雪种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更换电磁离合器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更换压缩机</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更换冷凝器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清洁或更换蒸发器（不含拆装仪表台）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更换暖水开关阀（不含拆装仪表台）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更换风量调节开关（不含拆装仪表台）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更换冷暖调节开关或拉索（不含拆装仪表台）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 A/C 开关（不含拆装仪表台）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更换暖风水箱（不含拆装仪表台）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拆装装空调鼓风机（不含拆装仪表台）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拆装空调进气滤网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检修电子扇电路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检修空调电路（普通）（不含拆装仪表台）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空调系统大修（单蒸发器）（不含拆装仪表台）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空调系统大修（双蒸发器）（不含拆装仪表台）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换雪种瓶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空调系统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抽真空加雪种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换高低压管（条）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检查更换空调继电器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清洗冷气风口、管道（不含拆装仪表台）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排除蒸发箱外水道堵塞</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更换膨胀阀（不含拆装仪表台）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拆装更换冷气温度感应器（不含拆装仪表台）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更换空调保险阀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检修空调电路（自动）（不含拆装仪表台）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检修暖气系统（不含拆装仪表台）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清洗蒸发器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VIII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电器系统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检修里程表线路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检修水温表线路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检修转速表线路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检修燃油表线路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检修机油压力线路(机油灯亮)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检修充电指示灯线路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检修全车灯光线路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调整大灯位置及光轴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拆修雨刮连杆机构（不含拆装仪表台）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检修雨刮喷水机构</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更换雨刮喷水壶或喷水电机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更换天线总成</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更换电池</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更换前门音响喇叭（个）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电器系统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815</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更换后音响喇叭（个）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816</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拆装音响主机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817</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更换电喇叭</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818</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更换气囊袋线盘</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819</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更换左右气袋及电脑（含拆装仪表台）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820</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更换升降器总开关</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821</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更换前门升降器或马达（单门）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822</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更换后门升降器或马达（单门）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823</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更换转向组合开关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824</w:t>
            </w:r>
          </w:p>
        </w:tc>
        <w:tc>
          <w:tcPr>
            <w:tcW w:w="3525" w:type="dxa"/>
            <w:vAlign w:val="center"/>
          </w:tcPr>
          <w:p>
            <w:pPr>
              <w:widowControl/>
              <w:jc w:val="left"/>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 xml:space="preserve">更换前大灯或大灯座（只）（不含拆保险杠）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更换前角灯（只）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更换后尾灯（只）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更换后高位制动灯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更换前保险杠灯（只）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829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检修、更换前射灯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检修手刹灯线路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检修挂挡杆灯线路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拆装检修天窗机构（含拆装天花内饰板）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更换天窗开关</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检修电动后视镜及电路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更换仪表板照明灯泡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全车线路大修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消除故障码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更换室内倒车镜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换刮雨马达（不含拆装仪表台）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换继电器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换保险盒（不含线束更换）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电器系统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检修电子防盗器系统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检修电子油门故障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检修车速传感器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检修巡航系统控制电路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检修电动座椅电路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更换外把手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更换四档泥板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849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检修电动车窗电路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检修中央门锁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拆装更换门灯感应器（个）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检修安全带感应器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更换刹车油量感应器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拆检尾门锁灯开关总成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检修起动线路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更换电池头（正）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更换电池头（负）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发动机保养电脑归零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检修气囊控制电路故障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检修自动波外控电器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检修液压方向机电子控制系统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检修自动防撞系统（仪表台）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配装遥控器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检修加速防滑系统（ASR）</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检修四轮驱动系统电路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 CD 收放机外接电路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检修电子仪表板电路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检修更换雾灯（一对）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869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检修大灯高低调整装置（内置式）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电器系统</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更换雨刮臂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检修倒车灯电路</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检修雨刮电路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检修喇叭电路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安装车尾静电线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IX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车身部分</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拆装车身饰件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更换前中网</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更换前或后档风玻璃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更换发动机盖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更换发动机仓前龙门架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810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更换发动机盖锁并调整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更换发动机盖拉索拉手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更换倒车镜（单边）</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拆装倒车雷达</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更换前翼子板（单边）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更换后翼子板（单边）（含拆装后杠、后档等相关附件）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更换前车门（个）（含相关附件拆装）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495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更换前门玻璃（件）（含相关附件拆装）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拆装前门内饰板（件）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拆装后门饰板（件）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更换车身前立柱（单边）（含相关附件拆装）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更换车身中立柱（单边）（含相关附件拆装）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更换前门锁机并调整（个）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919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更换后门锁机并调整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更换落水槽饰条（条）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更换前门玻璃绒槽（条）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车身部分</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更换后门玻璃绒槽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更换门锁驱动器（个）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更换后门玻璃（件）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更换行李箱盖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更换前保险杠</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更换后保险杠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更换全车标志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929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更换全车锁（不含解码）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安装全车电镀楣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更换天窗玻璃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拆装天窗机构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更换后门三角窗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更换车身下裙（单边）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更换后门玻璃外压条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更换前门玻璃外压条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修复校正大梁（不含拆装其他附件）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更换车身地毯（不含拆装仪表台）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更换车顶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拆装车内天花</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更换油箱拉索</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更换油箱开启盖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更换水箱上支架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更换水箱下支架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更换车门防水胶条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更换车门外拉手</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更换车门内拉手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更换车门限位器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更换后车门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495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车身部分</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拆装行李箱内饰件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更换行李箱后围板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更换行李箱拉簧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拆装前排座椅（个）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拆装后排座椅及靠背</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更换前轮内挡泥衬胶（单边）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更换后轮内挡泥补胶（单边）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更换车门防撞胶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更换大灯下支架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959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更换前保险杠内支架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更换后保险杠内支架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更换前叶子板内托（左或右）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更换后叶子板内托（左或右）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更换门柱外饰铰</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更换后盖铰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更换前、后门门铰（对）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更换前大灯（个）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单门修复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前杠修复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969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前叶子板修复</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引擎盖修复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后箱盖修复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修玻璃升降器手动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修玻璃升降器电动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换单门锁芯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换尾箱盖锁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换引擎盖锁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换车身彩条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车身部分</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更换尾门撑杆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979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检修排气管、消声器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电池架烧焊固定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检修中门轴承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检修车头盖锁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固定保险杠角胶（吉普车）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轮胎上盖板修复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180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后尾板修复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车身大修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3300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更换车身电镀饰板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前照面修复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前玻璃框锈蚀修复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后玻璃框锈蚀修复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车顶沙板修复</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修复后保险杠</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225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更换安全带（条）（不含电脑解码）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调校车门（个）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调校尾门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更换后盖拉线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拆装全车附件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1650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修复备胎架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999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调校门锁位（门）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换叶子板饰条（条）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更换外把手</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更换四档泥板</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发动机盖凹位修复及校正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左前叶子板凹位修复及校正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钣金</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右前叶子板凹位修复及校正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车顶凹位修复及校正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494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左前门凹位修复及校正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右前门凹位修复及校正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左下裙条凹位修复及校正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右下裙条凹位修复及校正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左前立柱凹位修复及校正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右前立柱凹位修复及校正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左中柱凹位修复及校正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右中柱凹位修复及校正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更换左前大梁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1382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更换右前大梁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1382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左后门凹位修复及校正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右后门凹位修复及校正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左后叶子板凹位修复及校正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右后叶子板凹位修复及校正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1019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行李箱盖凹位修复及校正</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前保险杠凹位修复及校正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后保险杠凹位修复及校正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270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修复前大梁（后）</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1366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1241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修复前、后大梁</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1713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1557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中门沙板修复（中等程度）</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拆装清洁全车室内饰件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857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522" w:type="dxa"/>
            <w:gridSpan w:val="7"/>
            <w:vAlign w:val="center"/>
          </w:tcPr>
          <w:p>
            <w:pPr>
              <w:widowControl/>
              <w:jc w:val="center"/>
              <w:rPr>
                <w:rFonts w:ascii="新宋体" w:hAnsi="新宋体" w:eastAsia="新宋体" w:cs="新宋体"/>
                <w:b/>
                <w:bCs/>
                <w:color w:val="auto"/>
                <w:kern w:val="0"/>
                <w:szCs w:val="21"/>
                <w:highlight w:val="none"/>
                <w:lang w:bidi="ar"/>
              </w:rPr>
            </w:pPr>
            <w:r>
              <w:rPr>
                <w:rFonts w:hint="eastAsia" w:ascii="宋体" w:hAnsi="宋体" w:eastAsia="宋体" w:cs="宋体"/>
                <w:color w:val="auto"/>
                <w:kern w:val="0"/>
                <w:szCs w:val="21"/>
                <w:highlight w:val="none"/>
                <w:lang w:bidi="ar"/>
              </w:rPr>
              <w:t>维修项目 XI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hint="eastAsia" w:ascii="新宋体" w:hAnsi="新宋体" w:eastAsia="新宋体" w:cs="新宋体"/>
                <w:b w:val="0"/>
                <w:bCs w:val="0"/>
                <w:color w:val="auto"/>
                <w:kern w:val="0"/>
                <w:szCs w:val="21"/>
                <w:highlight w:val="none"/>
                <w:lang w:bidi="ar"/>
              </w:rPr>
            </w:pPr>
          </w:p>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烤漆及美容</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全车烤漆内外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7156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6506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5855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发动机盖烤漆（新件）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579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发动机盖烤漆（旧件）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579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发动机盖烤漆（残破）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982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884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前保险杠烤漆（新件）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前保险杠烤漆（旧件）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前保险杠烤漆（残破）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前保险杠补漆（局部）</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1105</w:t>
            </w:r>
          </w:p>
        </w:tc>
        <w:tc>
          <w:tcPr>
            <w:tcW w:w="3525" w:type="dxa"/>
            <w:vAlign w:val="center"/>
          </w:tcPr>
          <w:p>
            <w:pPr>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后保险杠烤漆（新件）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后保险杠烤漆（旧件）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后保险杠烤漆（残破）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后保险杠补漆（局部）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244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前叶子板烤漆（新件）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567</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前叶子板烤漆（旧件）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前叶子板烤漆（残破）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788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后叶子板烤漆（新件）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后叶子板烤漆（旧件）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后叶子板烤漆（残破）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672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widowControl/>
              <w:jc w:val="left"/>
              <w:rPr>
                <w:rFonts w:ascii="新宋体" w:hAnsi="新宋体" w:eastAsia="新宋体" w:cs="新宋体"/>
                <w:color w:val="auto"/>
                <w:kern w:val="0"/>
                <w:szCs w:val="21"/>
                <w:highlight w:val="none"/>
                <w:lang w:bidi="ar"/>
              </w:rPr>
            </w:pPr>
            <w:r>
              <w:rPr>
                <w:rFonts w:hint="eastAsia" w:ascii="宋体" w:hAnsi="宋体" w:eastAsia="宋体" w:cs="宋体"/>
                <w:color w:val="auto"/>
                <w:kern w:val="0"/>
                <w:szCs w:val="21"/>
                <w:highlight w:val="none"/>
                <w:lang w:bidi="ar"/>
              </w:rPr>
              <w:t xml:space="preserve">1109 </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前车门烤漆（新件）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前车门烤漆（旧件）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前车门烤漆（残破）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682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后车门烤漆（新件）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413</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后车门烤漆（旧件）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530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后车门烤漆（残破）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682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620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前立柱烤漆（旧件）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前立柱烤漆（残破）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中立柱烤漆（旧件）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中立柱烤漆（残破）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后立柱烤漆（旧件）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后立柱烤漆（残破）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419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车门上幅烤漆（旧件）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车门上幅烤漆（残破）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val="0"/>
                <w:bCs w:val="0"/>
                <w:color w:val="auto"/>
                <w:kern w:val="0"/>
                <w:szCs w:val="21"/>
                <w:highlight w:val="none"/>
                <w:lang w:bidi="ar"/>
              </w:rPr>
              <w:t>烤漆及美容</w:t>
            </w:r>
            <w:r>
              <w:rPr>
                <w:rFonts w:hint="eastAsia" w:ascii="新宋体" w:hAnsi="新宋体" w:eastAsia="新宋体" w:cs="新宋体"/>
                <w:b w:val="0"/>
                <w:bCs w:val="0"/>
                <w:color w:val="auto"/>
                <w:kern w:val="0"/>
                <w:szCs w:val="21"/>
                <w:highlight w:val="none"/>
                <w:lang w:val="en-US" w:eastAsia="zh-CN" w:bidi="ar"/>
              </w:rPr>
              <w:t>`</w:t>
            </w: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车门下幅烤漆（旧件）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车门下幅烤漆（残破）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586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车门防撞条烤漆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147</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车身下裙条烤漆（新件）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511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460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车身下裙条烤漆（旧件）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678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616</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车身下裙条烤漆（残破）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706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641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577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行李箱烤漆（新件）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行李箱烤漆（旧件）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374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行李箱烤漆（残破）</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428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389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1119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车顶烤漆（新件）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1232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车顶烤漆（旧件）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1232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1109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车顶烤漆（残破）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1382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restart"/>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倒车镜烤漆（新件）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Merge w:val="continue"/>
            <w:vAlign w:val="center"/>
          </w:tcPr>
          <w:p>
            <w:pPr>
              <w:jc w:val="center"/>
              <w:rPr>
                <w:rFonts w:ascii="新宋体" w:hAnsi="新宋体" w:eastAsia="新宋体" w:cs="新宋体"/>
                <w:color w:val="auto"/>
                <w:kern w:val="0"/>
                <w:szCs w:val="21"/>
                <w:highlight w:val="none"/>
                <w:lang w:bidi="ar"/>
              </w:rPr>
            </w:pP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倒车镜烤漆（旧件）</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154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140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全车座位清洗、上蜡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401</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发动机外部清洗、上蜡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263</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全车抛光、上蜡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482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全车打磨、抛光、上蜡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493</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444</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上增艳蜡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316</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287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全车除污渍</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613</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557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打磨、抛光加一层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527</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后箱盖烤漆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870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791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712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1129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引擎盖烤漆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1025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932</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839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内部美容蒸气</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622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509</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水蜡洗车</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62.04</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50.76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上普通光蜡</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232</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211</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190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1133</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更换全车座套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120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100</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1134</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外车身、全车填面喷漆、烤漆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4418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4017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3615</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restart"/>
            <w:vAlign w:val="center"/>
          </w:tcPr>
          <w:p>
            <w:pPr>
              <w:jc w:val="center"/>
              <w:rPr>
                <w:rFonts w:hint="eastAsia" w:ascii="新宋体" w:hAnsi="新宋体" w:eastAsia="新宋体" w:cs="新宋体"/>
                <w:b/>
                <w:bCs/>
                <w:color w:val="auto"/>
                <w:kern w:val="0"/>
                <w:szCs w:val="21"/>
                <w:highlight w:val="none"/>
                <w:lang w:val="en-US" w:eastAsia="zh-CN" w:bidi="ar"/>
              </w:rPr>
            </w:pPr>
            <w:r>
              <w:rPr>
                <w:rFonts w:hint="eastAsia" w:ascii="新宋体" w:hAnsi="新宋体" w:eastAsia="新宋体" w:cs="新宋体"/>
                <w:b w:val="0"/>
                <w:bCs w:val="0"/>
                <w:color w:val="auto"/>
                <w:kern w:val="0"/>
                <w:szCs w:val="21"/>
                <w:highlight w:val="none"/>
                <w:lang w:bidi="ar"/>
              </w:rPr>
              <w:t>烤漆及美容</w:t>
            </w:r>
            <w:r>
              <w:rPr>
                <w:rFonts w:hint="eastAsia" w:ascii="新宋体" w:hAnsi="新宋体" w:eastAsia="新宋体" w:cs="新宋体"/>
                <w:b w:val="0"/>
                <w:bCs w:val="0"/>
                <w:color w:val="auto"/>
                <w:kern w:val="0"/>
                <w:szCs w:val="21"/>
                <w:highlight w:val="none"/>
                <w:lang w:val="en-US" w:eastAsia="zh-CN" w:bidi="ar"/>
              </w:rPr>
              <w:t>`</w:t>
            </w: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1135</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车底喷防锈漆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595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536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1136</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全车室内消毒</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355</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323</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291</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1137</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全车装表茶纸（5 座车） </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668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607</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546</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1138</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室内椅套清洗</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1139</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真皮座椅去渍、上光</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449</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408</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367</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1140</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发动机外表清洗</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368</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335</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302</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1141</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后尾幅喷漆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560</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509</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458</w:t>
            </w:r>
          </w:p>
        </w:tc>
        <w:tc>
          <w:tcPr>
            <w:tcW w:w="986" w:type="dxa"/>
            <w:vAlign w:val="center"/>
          </w:tcPr>
          <w:p>
            <w:pPr>
              <w:jc w:val="center"/>
              <w:rPr>
                <w:rFonts w:ascii="新宋体" w:hAnsi="新宋体" w:eastAsia="新宋体" w:cs="新宋体"/>
                <w:b/>
                <w:bCs/>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64" w:type="dxa"/>
            <w:vMerge w:val="continue"/>
            <w:vAlign w:val="center"/>
          </w:tcPr>
          <w:p>
            <w:pPr>
              <w:jc w:val="center"/>
              <w:rPr>
                <w:rFonts w:ascii="新宋体" w:hAnsi="新宋体" w:eastAsia="新宋体" w:cs="新宋体"/>
                <w:b/>
                <w:bCs/>
                <w:color w:val="auto"/>
                <w:kern w:val="0"/>
                <w:szCs w:val="21"/>
                <w:highlight w:val="none"/>
                <w:lang w:bidi="ar"/>
              </w:rPr>
            </w:pPr>
          </w:p>
        </w:tc>
        <w:tc>
          <w:tcPr>
            <w:tcW w:w="780"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1142</w:t>
            </w:r>
          </w:p>
        </w:tc>
        <w:tc>
          <w:tcPr>
            <w:tcW w:w="3525" w:type="dxa"/>
            <w:vAlign w:val="center"/>
          </w:tcPr>
          <w:p>
            <w:pPr>
              <w:widowControl/>
              <w:jc w:val="left"/>
              <w:rPr>
                <w:rFonts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大梁修复后补漆</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477</w:t>
            </w:r>
          </w:p>
        </w:tc>
        <w:tc>
          <w:tcPr>
            <w:tcW w:w="833"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434</w:t>
            </w:r>
          </w:p>
        </w:tc>
        <w:tc>
          <w:tcPr>
            <w:tcW w:w="767" w:type="dxa"/>
            <w:vAlign w:val="center"/>
          </w:tcPr>
          <w:p>
            <w:pPr>
              <w:jc w:val="center"/>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391</w:t>
            </w:r>
          </w:p>
        </w:tc>
        <w:tc>
          <w:tcPr>
            <w:tcW w:w="986" w:type="dxa"/>
            <w:vAlign w:val="center"/>
          </w:tcPr>
          <w:p>
            <w:pPr>
              <w:jc w:val="center"/>
              <w:rPr>
                <w:rFonts w:ascii="新宋体" w:hAnsi="新宋体" w:eastAsia="新宋体" w:cs="新宋体"/>
                <w:b/>
                <w:bCs/>
                <w:color w:val="auto"/>
                <w:kern w:val="0"/>
                <w:szCs w:val="21"/>
                <w:highlight w:val="none"/>
                <w:lang w:bidi="ar"/>
              </w:rPr>
            </w:pPr>
          </w:p>
        </w:tc>
      </w:tr>
    </w:tbl>
    <w:p>
      <w:pPr>
        <w:rPr>
          <w:rFonts w:ascii="新宋体" w:hAnsi="新宋体" w:eastAsia="新宋体" w:cs="新宋体"/>
          <w:b/>
          <w:bCs/>
          <w:color w:val="auto"/>
          <w:kern w:val="0"/>
          <w:sz w:val="24"/>
          <w:highlight w:val="none"/>
          <w:lang w:bidi="ar"/>
        </w:rPr>
      </w:pPr>
    </w:p>
    <w:p>
      <w:pPr>
        <w:widowControl/>
        <w:jc w:val="left"/>
        <w:rPr>
          <w:rFonts w:ascii="微软雅黑" w:hAnsi="微软雅黑" w:eastAsia="微软雅黑" w:cs="微软雅黑"/>
          <w:color w:val="auto"/>
          <w:kern w:val="0"/>
          <w:sz w:val="28"/>
          <w:szCs w:val="28"/>
          <w:highlight w:val="none"/>
          <w:lang w:bidi="ar"/>
        </w:rPr>
      </w:pPr>
    </w:p>
    <w:p>
      <w:pPr>
        <w:widowControl/>
        <w:numPr>
          <w:ilvl w:val="0"/>
          <w:numId w:val="2"/>
        </w:numPr>
        <w:jc w:val="left"/>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bidi="ar"/>
        </w:rPr>
        <w:t>车辆年审费最高限价</w:t>
      </w:r>
    </w:p>
    <w:p>
      <w:pPr>
        <w:widowControl/>
        <w:jc w:val="left"/>
        <w:rPr>
          <w:rFonts w:ascii="宋体" w:hAnsi="宋体" w:eastAsia="宋体" w:cs="宋体"/>
          <w:b/>
          <w:bCs/>
          <w:color w:val="auto"/>
          <w:kern w:val="0"/>
          <w:sz w:val="24"/>
          <w:highlight w:val="none"/>
          <w:lang w:bidi="ar"/>
        </w:rPr>
      </w:pPr>
    </w:p>
    <w:p>
      <w:pPr>
        <w:widowControl/>
        <w:jc w:val="center"/>
        <w:rPr>
          <w:color w:val="auto"/>
          <w:sz w:val="28"/>
          <w:szCs w:val="28"/>
          <w:highlight w:val="none"/>
        </w:rPr>
      </w:pPr>
      <w:r>
        <w:rPr>
          <w:rFonts w:ascii="宋体" w:hAnsi="宋体" w:eastAsia="宋体" w:cs="宋体"/>
          <w:b/>
          <w:bCs/>
          <w:color w:val="auto"/>
          <w:kern w:val="0"/>
          <w:sz w:val="28"/>
          <w:szCs w:val="28"/>
          <w:highlight w:val="none"/>
          <w:lang w:bidi="ar"/>
        </w:rPr>
        <w:t>车辆年审费明细表</w:t>
      </w:r>
    </w:p>
    <w:tbl>
      <w:tblPr>
        <w:tblStyle w:val="13"/>
        <w:tblW w:w="6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3660"/>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eastAsia="zh-CN" w:bidi="ar"/>
              </w:rPr>
            </w:pPr>
            <w:r>
              <w:rPr>
                <w:rFonts w:hint="eastAsia" w:ascii="宋体" w:hAnsi="宋体" w:eastAsia="宋体" w:cs="宋体"/>
                <w:color w:val="auto"/>
                <w:kern w:val="0"/>
                <w:sz w:val="24"/>
                <w:szCs w:val="24"/>
                <w:highlight w:val="none"/>
                <w:lang w:eastAsia="zh-CN" w:bidi="ar"/>
              </w:rPr>
              <w:t>序号</w:t>
            </w:r>
          </w:p>
        </w:tc>
        <w:tc>
          <w:tcPr>
            <w:tcW w:w="3660"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车辆类别</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年审检测费（元/台）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3660" w:type="dxa"/>
            <w:vAlign w:val="center"/>
          </w:tcPr>
          <w:p>
            <w:pPr>
              <w:widowControl/>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小型客车</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p>
        </w:tc>
        <w:tc>
          <w:tcPr>
            <w:tcW w:w="3660" w:type="dxa"/>
            <w:vAlign w:val="center"/>
          </w:tcPr>
          <w:p>
            <w:pPr>
              <w:widowControl/>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小型/轻型货车</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p>
        </w:tc>
        <w:tc>
          <w:tcPr>
            <w:tcW w:w="3660" w:type="dxa"/>
            <w:vAlign w:val="center"/>
          </w:tcPr>
          <w:p>
            <w:pPr>
              <w:widowControl/>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中型货车</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w:t>
            </w:r>
          </w:p>
        </w:tc>
        <w:tc>
          <w:tcPr>
            <w:tcW w:w="3660" w:type="dxa"/>
            <w:vAlign w:val="center"/>
          </w:tcPr>
          <w:p>
            <w:pPr>
              <w:widowControl/>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大型/重型货车</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5" w:type="dxa"/>
            <w:vAlign w:val="center"/>
          </w:tcPr>
          <w:p>
            <w:pPr>
              <w:widowControl/>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5</w:t>
            </w:r>
          </w:p>
        </w:tc>
        <w:tc>
          <w:tcPr>
            <w:tcW w:w="3660" w:type="dxa"/>
            <w:vAlign w:val="center"/>
          </w:tcPr>
          <w:p>
            <w:pPr>
              <w:widowControl/>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专项作业车</w:t>
            </w:r>
          </w:p>
        </w:tc>
        <w:tc>
          <w:tcPr>
            <w:tcW w:w="2460" w:type="dxa"/>
            <w:vAlign w:val="center"/>
          </w:tcPr>
          <w:p>
            <w:pPr>
              <w:widowControl/>
              <w:jc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1300</w:t>
            </w:r>
          </w:p>
        </w:tc>
      </w:tr>
    </w:tbl>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2"/>
          <w:szCs w:val="32"/>
          <w:highlight w:val="none"/>
          <w:lang w:bidi="ar"/>
        </w:rPr>
      </w:pPr>
      <w:r>
        <w:rPr>
          <w:rFonts w:hint="eastAsia" w:ascii="新宋体" w:hAnsi="新宋体" w:eastAsia="新宋体" w:cs="新宋体"/>
          <w:b/>
          <w:bCs/>
          <w:color w:val="auto"/>
          <w:kern w:val="0"/>
          <w:sz w:val="32"/>
          <w:szCs w:val="32"/>
          <w:highlight w:val="none"/>
          <w:lang w:bidi="ar"/>
        </w:rPr>
        <w:t>第五部分  采购需求</w:t>
      </w:r>
    </w:p>
    <w:p>
      <w:pPr>
        <w:widowControl/>
        <w:spacing w:line="400" w:lineRule="exact"/>
        <w:jc w:val="center"/>
        <w:rPr>
          <w:rFonts w:ascii="新宋体" w:hAnsi="新宋体" w:eastAsia="新宋体" w:cs="新宋体"/>
          <w:b/>
          <w:bCs/>
          <w:color w:val="auto"/>
          <w:kern w:val="0"/>
          <w:sz w:val="24"/>
          <w:highlight w:val="none"/>
          <w:lang w:bidi="ar"/>
        </w:rPr>
      </w:pP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一、项目概况</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（一）项目名称：广州市自来水工程有限公司</w:t>
      </w:r>
      <w:r>
        <w:rPr>
          <w:rFonts w:hint="eastAsia" w:ascii="新宋体" w:hAnsi="新宋体" w:eastAsia="新宋体" w:cs="新宋体"/>
          <w:color w:val="auto"/>
          <w:kern w:val="0"/>
          <w:sz w:val="24"/>
          <w:highlight w:val="none"/>
          <w:lang w:eastAsia="zh-CN" w:bidi="ar"/>
        </w:rPr>
        <w:t>2023～2025</w:t>
      </w:r>
      <w:r>
        <w:rPr>
          <w:rFonts w:hint="eastAsia" w:ascii="新宋体" w:hAnsi="新宋体" w:eastAsia="新宋体" w:cs="新宋体"/>
          <w:color w:val="auto"/>
          <w:kern w:val="0"/>
          <w:sz w:val="24"/>
          <w:highlight w:val="none"/>
          <w:lang w:bidi="ar"/>
        </w:rPr>
        <w:t>年度车辆维修保养服务采购项目。</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（二）项目概况</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1．项目背景</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广州市自来水工程有限公司及下属单位现有生产车辆（非专项作业车）15</w:t>
      </w:r>
      <w:r>
        <w:rPr>
          <w:rFonts w:hint="eastAsia" w:ascii="新宋体" w:hAnsi="新宋体" w:eastAsia="新宋体" w:cs="新宋体"/>
          <w:color w:val="auto"/>
          <w:kern w:val="0"/>
          <w:sz w:val="24"/>
          <w:highlight w:val="none"/>
          <w:lang w:val="en-US" w:eastAsia="zh-CN" w:bidi="ar"/>
        </w:rPr>
        <w:t>6</w:t>
      </w:r>
      <w:r>
        <w:rPr>
          <w:rFonts w:hint="eastAsia" w:ascii="新宋体" w:hAnsi="新宋体" w:eastAsia="新宋体" w:cs="新宋体"/>
          <w:color w:val="auto"/>
          <w:kern w:val="0"/>
          <w:sz w:val="24"/>
          <w:highlight w:val="none"/>
          <w:lang w:bidi="ar"/>
        </w:rPr>
        <w:t>余台，包括但不限于客车、皮卡车、厢式货车等，需要进行整车故障维修和日常保养，车辆零配件、电器设备、润滑油料、尿素等车辆易耗物品配送，保障生产车辆正常运行。</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2．服务范围</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本项目按停放及作业区域</w:t>
      </w:r>
      <w:r>
        <w:rPr>
          <w:rFonts w:hint="eastAsia" w:ascii="新宋体" w:hAnsi="新宋体" w:eastAsia="新宋体" w:cs="新宋体"/>
          <w:color w:val="auto"/>
          <w:kern w:val="0"/>
          <w:sz w:val="24"/>
          <w:highlight w:val="none"/>
          <w:lang w:eastAsia="zh-CN" w:bidi="ar"/>
        </w:rPr>
        <w:t>划</w:t>
      </w:r>
      <w:r>
        <w:rPr>
          <w:rFonts w:hint="eastAsia" w:ascii="新宋体" w:hAnsi="新宋体" w:eastAsia="新宋体" w:cs="新宋体"/>
          <w:color w:val="auto"/>
          <w:kern w:val="0"/>
          <w:sz w:val="24"/>
          <w:highlight w:val="none"/>
          <w:lang w:bidi="ar"/>
        </w:rPr>
        <w:t>分成3个</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，每个</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分别确定1家</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作为广州市自来水工程有限公司及下属单位</w:t>
      </w:r>
      <w:r>
        <w:rPr>
          <w:rFonts w:hint="eastAsia" w:ascii="新宋体" w:hAnsi="新宋体" w:eastAsia="新宋体" w:cs="新宋体"/>
          <w:color w:val="auto"/>
          <w:kern w:val="0"/>
          <w:sz w:val="24"/>
          <w:highlight w:val="none"/>
          <w:lang w:eastAsia="zh-CN" w:bidi="ar"/>
        </w:rPr>
        <w:t>2023～2025</w:t>
      </w:r>
      <w:r>
        <w:rPr>
          <w:rFonts w:hint="eastAsia" w:ascii="新宋体" w:hAnsi="新宋体" w:eastAsia="新宋体" w:cs="新宋体"/>
          <w:color w:val="auto"/>
          <w:kern w:val="0"/>
          <w:sz w:val="24"/>
          <w:highlight w:val="none"/>
          <w:lang w:bidi="ar"/>
        </w:rPr>
        <w:t>年度车辆定点</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，为</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w:t>
      </w:r>
      <w:r>
        <w:rPr>
          <w:rFonts w:hint="eastAsia" w:ascii="新宋体" w:hAnsi="新宋体" w:eastAsia="新宋体" w:cs="新宋体"/>
          <w:color w:val="auto"/>
          <w:kern w:val="0"/>
          <w:sz w:val="24"/>
          <w:highlight w:val="none"/>
          <w:lang w:eastAsia="zh-CN" w:bidi="ar"/>
        </w:rPr>
        <w:t>生产</w:t>
      </w:r>
      <w:r>
        <w:rPr>
          <w:rFonts w:hint="eastAsia" w:ascii="新宋体" w:hAnsi="新宋体" w:eastAsia="新宋体" w:cs="新宋体"/>
          <w:color w:val="auto"/>
          <w:kern w:val="0"/>
          <w:sz w:val="24"/>
          <w:highlight w:val="none"/>
          <w:lang w:bidi="ar"/>
        </w:rPr>
        <w:t>车辆整车（非专项作业车）提供维修/保养服务。</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5"/>
        <w:gridCol w:w="2631"/>
        <w:gridCol w:w="3821"/>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Align w:val="center"/>
          </w:tcPr>
          <w:p>
            <w:pPr>
              <w:widowControl/>
              <w:jc w:val="center"/>
              <w:rPr>
                <w:rFonts w:hint="eastAsia" w:eastAsiaTheme="minorEastAsia"/>
                <w:color w:val="auto"/>
                <w:highlight w:val="none"/>
                <w:lang w:eastAsia="zh-CN"/>
              </w:rPr>
            </w:pPr>
            <w:r>
              <w:rPr>
                <w:rFonts w:hint="eastAsia" w:ascii="新宋体" w:hAnsi="新宋体" w:eastAsia="新宋体" w:cs="新宋体"/>
                <w:color w:val="auto"/>
                <w:kern w:val="0"/>
                <w:sz w:val="24"/>
                <w:highlight w:val="none"/>
                <w:lang w:eastAsia="zh-CN" w:bidi="ar"/>
              </w:rPr>
              <w:t>标段</w:t>
            </w:r>
          </w:p>
        </w:tc>
        <w:tc>
          <w:tcPr>
            <w:tcW w:w="2631" w:type="dxa"/>
            <w:vAlign w:val="center"/>
          </w:tcPr>
          <w:p>
            <w:pPr>
              <w:widowControl/>
              <w:jc w:val="center"/>
              <w:rPr>
                <w:rFonts w:ascii="新宋体" w:hAnsi="新宋体" w:eastAsia="新宋体" w:cs="新宋体"/>
                <w:color w:val="auto"/>
                <w:kern w:val="0"/>
                <w:sz w:val="24"/>
                <w:highlight w:val="none"/>
                <w:lang w:bidi="ar"/>
              </w:rPr>
            </w:pPr>
            <w:r>
              <w:rPr>
                <w:rFonts w:ascii="宋体" w:hAnsi="宋体" w:eastAsia="宋体" w:cs="宋体"/>
                <w:b/>
                <w:bCs/>
                <w:color w:val="auto"/>
                <w:kern w:val="0"/>
                <w:szCs w:val="21"/>
                <w:highlight w:val="none"/>
                <w:lang w:bidi="ar"/>
              </w:rPr>
              <w:t>服务对象</w:t>
            </w:r>
          </w:p>
        </w:tc>
        <w:tc>
          <w:tcPr>
            <w:tcW w:w="3821" w:type="dxa"/>
            <w:vAlign w:val="center"/>
          </w:tcPr>
          <w:p>
            <w:pPr>
              <w:pStyle w:val="11"/>
              <w:ind w:left="0" w:leftChars="0" w:firstLine="0" w:firstLineChars="0"/>
              <w:jc w:val="center"/>
              <w:rPr>
                <w:rFonts w:eastAsia="宋体"/>
                <w:color w:val="auto"/>
                <w:highlight w:val="none"/>
              </w:rPr>
            </w:pPr>
            <w:r>
              <w:rPr>
                <w:rFonts w:hint="eastAsia" w:ascii="宋体" w:hAnsi="宋体" w:eastAsia="宋体" w:cs="宋体"/>
                <w:b/>
                <w:bCs/>
                <w:color w:val="auto"/>
                <w:kern w:val="0"/>
                <w:szCs w:val="21"/>
                <w:highlight w:val="none"/>
                <w:lang w:bidi="ar"/>
              </w:rPr>
              <w:t>基准地址</w:t>
            </w:r>
          </w:p>
        </w:tc>
        <w:tc>
          <w:tcPr>
            <w:tcW w:w="1113" w:type="dxa"/>
            <w:vAlign w:val="center"/>
          </w:tcPr>
          <w:p>
            <w:pPr>
              <w:pStyle w:val="11"/>
              <w:ind w:left="0" w:leftChars="0" w:firstLine="0" w:firstLineChars="0"/>
              <w:jc w:val="center"/>
              <w:rPr>
                <w:rFonts w:ascii="宋体" w:hAnsi="宋体" w:eastAsia="宋体" w:cs="宋体"/>
                <w:b/>
                <w:bCs/>
                <w:color w:val="auto"/>
                <w:kern w:val="0"/>
                <w:szCs w:val="21"/>
                <w:highlight w:val="none"/>
                <w:lang w:bidi="ar"/>
              </w:rPr>
            </w:pPr>
            <w:r>
              <w:rPr>
                <w:rFonts w:hint="eastAsia" w:ascii="宋体" w:hAnsi="宋体" w:eastAsia="宋体" w:cs="宋体"/>
                <w:b/>
                <w:bCs/>
                <w:color w:val="auto"/>
                <w:kern w:val="0"/>
                <w:szCs w:val="21"/>
                <w:highlight w:val="none"/>
                <w:lang w:bidi="ar"/>
              </w:rPr>
              <w:t>车辆数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55" w:type="dxa"/>
            <w:vAlign w:val="center"/>
          </w:tcPr>
          <w:p>
            <w:pPr>
              <w:widowControl/>
              <w:jc w:val="center"/>
              <w:rPr>
                <w:color w:val="auto"/>
                <w:highlight w:val="none"/>
              </w:rPr>
            </w:pP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一</w:t>
            </w: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养护分公司</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广州市白云区松州街松北园岗路58号</w:t>
            </w:r>
          </w:p>
        </w:tc>
        <w:tc>
          <w:tcPr>
            <w:tcW w:w="1113" w:type="dxa"/>
            <w:vAlign w:val="center"/>
          </w:tcPr>
          <w:p>
            <w:pPr>
              <w:widowControl/>
              <w:jc w:val="center"/>
              <w:textAlignment w:val="center"/>
              <w:rPr>
                <w:rFonts w:ascii="新宋体" w:hAnsi="新宋体" w:eastAsia="新宋体" w:cs="新宋体"/>
                <w:color w:val="auto"/>
                <w:kern w:val="0"/>
                <w:sz w:val="24"/>
                <w:highlight w:val="none"/>
                <w:lang w:bidi="ar"/>
              </w:rPr>
            </w:pPr>
            <w:r>
              <w:rPr>
                <w:rFonts w:ascii="宋体" w:hAnsi="宋体" w:cs="宋体"/>
                <w:color w:val="auto"/>
                <w:kern w:val="0"/>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Merge w:val="restart"/>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二</w:t>
            </w: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广州自来水专业建安有限公司</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广州市荔湾区东风西路西场电器城西村水厂后门</w:t>
            </w: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szCs w:val="24"/>
                <w:lang w:bidi="ar"/>
              </w:rPr>
              <w:t>3</w:t>
            </w:r>
            <w:r>
              <w:rPr>
                <w:rFonts w:hint="eastAsia" w:ascii="新宋体" w:hAnsi="新宋体" w:eastAsia="新宋体" w:cs="新宋体"/>
                <w:color w:val="auto"/>
                <w:kern w:val="0"/>
                <w:sz w:val="24"/>
                <w:szCs w:val="24"/>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广州自来水管道工程有限公司</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广州市荔湾区水厂路和平中二街6号大院</w:t>
            </w: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ascii="新宋体" w:hAnsi="新宋体" w:eastAsia="新宋体" w:cs="新宋体"/>
                <w:color w:val="auto"/>
                <w:kern w:val="0"/>
                <w:sz w:val="24"/>
                <w:szCs w:val="24"/>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广州市自来水制管有限公司</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广州市白云区石井镇广海路石门水厂南侧</w:t>
            </w: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szCs w:val="24"/>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广州市润水物业管理有限公司</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广州市白云区松州街松北园岗路58号</w:t>
            </w: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ascii="新宋体" w:hAnsi="新宋体" w:eastAsia="新宋体" w:cs="新宋体"/>
                <w:color w:val="auto"/>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Merge w:val="restart"/>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三</w:t>
            </w: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广州市自来水工程有限公司</w:t>
            </w:r>
          </w:p>
        </w:tc>
        <w:tc>
          <w:tcPr>
            <w:tcW w:w="3821" w:type="dxa"/>
            <w:vMerge w:val="restart"/>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广州市越秀区大沙头路3号</w:t>
            </w: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szCs w:val="24"/>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源泽分公司</w:t>
            </w:r>
          </w:p>
        </w:tc>
        <w:tc>
          <w:tcPr>
            <w:tcW w:w="3821"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szCs w:val="24"/>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润泽分公司</w:t>
            </w:r>
          </w:p>
        </w:tc>
        <w:tc>
          <w:tcPr>
            <w:tcW w:w="3821"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1113"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szCs w:val="24"/>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955" w:type="dxa"/>
            <w:vMerge w:val="continue"/>
            <w:vAlign w:val="center"/>
          </w:tcPr>
          <w:p>
            <w:pPr>
              <w:widowControl/>
              <w:spacing w:line="400" w:lineRule="exact"/>
              <w:jc w:val="center"/>
              <w:rPr>
                <w:rFonts w:ascii="新宋体" w:hAnsi="新宋体" w:eastAsia="新宋体" w:cs="新宋体"/>
                <w:color w:val="auto"/>
                <w:kern w:val="0"/>
                <w:sz w:val="24"/>
                <w:highlight w:val="none"/>
                <w:lang w:bidi="ar"/>
              </w:rPr>
            </w:pPr>
          </w:p>
        </w:tc>
        <w:tc>
          <w:tcPr>
            <w:tcW w:w="2631" w:type="dxa"/>
            <w:vAlign w:val="center"/>
          </w:tcPr>
          <w:p>
            <w:pPr>
              <w:widowControl/>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设计院</w:t>
            </w:r>
          </w:p>
        </w:tc>
        <w:tc>
          <w:tcPr>
            <w:tcW w:w="3821" w:type="dxa"/>
            <w:vAlign w:val="center"/>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广州市荔湾区龙津东路798号四楼</w:t>
            </w:r>
          </w:p>
        </w:tc>
        <w:tc>
          <w:tcPr>
            <w:tcW w:w="1113" w:type="dxa"/>
            <w:vAlign w:val="center"/>
          </w:tcPr>
          <w:p>
            <w:pPr>
              <w:widowControl/>
              <w:jc w:val="center"/>
              <w:textAlignment w:val="center"/>
              <w:rPr>
                <w:rFonts w:ascii="新宋体" w:hAnsi="新宋体" w:eastAsia="新宋体" w:cs="新宋体"/>
                <w:color w:val="auto"/>
                <w:kern w:val="0"/>
                <w:sz w:val="24"/>
                <w:highlight w:val="none"/>
                <w:lang w:bidi="ar"/>
              </w:rPr>
            </w:pPr>
            <w:r>
              <w:rPr>
                <w:rFonts w:hint="eastAsia" w:ascii="宋体" w:hAnsi="宋体" w:eastAsia="宋体" w:cs="宋体"/>
                <w:color w:val="auto"/>
                <w:kern w:val="0"/>
                <w:sz w:val="24"/>
                <w:szCs w:val="24"/>
                <w:lang w:val="en-US" w:eastAsia="zh-CN" w:bidi="ar"/>
              </w:rPr>
              <w:t>5</w:t>
            </w:r>
          </w:p>
        </w:tc>
      </w:tr>
    </w:tbl>
    <w:p>
      <w:pPr>
        <w:widowControl/>
        <w:spacing w:line="400" w:lineRule="exact"/>
        <w:ind w:firstLine="480" w:firstLineChars="200"/>
        <w:jc w:val="left"/>
        <w:rPr>
          <w:rFonts w:ascii="新宋体" w:hAnsi="新宋体" w:eastAsia="新宋体" w:cs="新宋体"/>
          <w:color w:val="auto"/>
          <w:kern w:val="0"/>
          <w:sz w:val="24"/>
          <w:highlight w:val="none"/>
          <w:lang w:bidi="ar"/>
        </w:rPr>
      </w:pPr>
    </w:p>
    <w:p>
      <w:pPr>
        <w:widowControl/>
        <w:spacing w:line="400" w:lineRule="exact"/>
        <w:ind w:firstLine="482"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b/>
          <w:bCs/>
          <w:color w:val="auto"/>
          <w:kern w:val="0"/>
          <w:sz w:val="24"/>
          <w:highlight w:val="none"/>
          <w:lang w:bidi="ar"/>
        </w:rPr>
        <w:t>注：</w:t>
      </w:r>
      <w:r>
        <w:rPr>
          <w:rFonts w:hint="eastAsia" w:ascii="新宋体" w:hAnsi="新宋体" w:eastAsia="新宋体" w:cs="新宋体"/>
          <w:color w:val="auto"/>
          <w:kern w:val="0"/>
          <w:sz w:val="24"/>
          <w:highlight w:val="none"/>
          <w:lang w:bidi="ar"/>
        </w:rPr>
        <w:t>服务对象及车辆数量仅为参考，服务过程中以实有车辆数为准，服务期间因</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编制或车辆调整等原因导致服务对象及车辆数量调整的，</w:t>
      </w:r>
      <w:r>
        <w:rPr>
          <w:rFonts w:hint="eastAsia" w:ascii="新宋体" w:hAnsi="新宋体" w:eastAsia="新宋体" w:cs="新宋体"/>
          <w:color w:val="auto"/>
          <w:kern w:val="0"/>
          <w:sz w:val="24"/>
          <w:highlight w:val="none"/>
          <w:lang w:eastAsia="zh-CN" w:bidi="ar"/>
        </w:rPr>
        <w:t>中选人</w:t>
      </w:r>
      <w:r>
        <w:rPr>
          <w:rFonts w:hint="eastAsia" w:ascii="新宋体" w:hAnsi="新宋体" w:eastAsia="新宋体" w:cs="新宋体"/>
          <w:color w:val="auto"/>
          <w:kern w:val="0"/>
          <w:sz w:val="24"/>
          <w:highlight w:val="none"/>
          <w:lang w:bidi="ar"/>
        </w:rPr>
        <w:t>应无条件接受。</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3．服务内容</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一级维护、二级维护、车辆大修、总成修理、车辆小修和车辆专项修理，二十四小时拖车服务、代办车辆年审服务、交通事故车辆维修服务和其他有关的汽车维修服务项目等。</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（三）项目预算</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本项目总预算金额为人民币140</w:t>
      </w:r>
      <w:r>
        <w:rPr>
          <w:rFonts w:hint="eastAsia" w:ascii="新宋体" w:hAnsi="新宋体" w:eastAsia="新宋体" w:cs="新宋体"/>
          <w:color w:val="auto"/>
          <w:kern w:val="0"/>
          <w:sz w:val="24"/>
          <w:highlight w:val="none"/>
          <w:lang w:eastAsia="zh-CN" w:bidi="ar"/>
        </w:rPr>
        <w:t>万</w:t>
      </w:r>
      <w:r>
        <w:rPr>
          <w:rFonts w:hint="eastAsia" w:ascii="新宋体" w:hAnsi="新宋体" w:eastAsia="新宋体" w:cs="新宋体"/>
          <w:color w:val="auto"/>
          <w:kern w:val="0"/>
          <w:sz w:val="24"/>
          <w:highlight w:val="none"/>
          <w:lang w:bidi="ar"/>
        </w:rPr>
        <w:t>元/年，各</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预算见下表：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7"/>
        <w:gridCol w:w="4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3127" w:type="dxa"/>
            <w:vAlign w:val="center"/>
          </w:tcPr>
          <w:p>
            <w:pPr>
              <w:widowControl/>
              <w:jc w:val="center"/>
              <w:rPr>
                <w:rFonts w:ascii="新宋体" w:hAnsi="新宋体" w:eastAsia="新宋体" w:cs="新宋体"/>
                <w:color w:val="auto"/>
                <w:kern w:val="0"/>
                <w:sz w:val="28"/>
                <w:szCs w:val="28"/>
                <w:highlight w:val="none"/>
                <w:lang w:bidi="ar"/>
              </w:rPr>
            </w:pPr>
            <w:r>
              <w:rPr>
                <w:rFonts w:hint="eastAsia" w:ascii="宋体" w:hAnsi="宋体" w:eastAsia="宋体" w:cs="宋体"/>
                <w:b/>
                <w:bCs/>
                <w:color w:val="auto"/>
                <w:kern w:val="0"/>
                <w:sz w:val="28"/>
                <w:szCs w:val="28"/>
                <w:highlight w:val="none"/>
                <w:lang w:eastAsia="zh-CN" w:bidi="ar"/>
              </w:rPr>
              <w:t>标段</w:t>
            </w:r>
            <w:r>
              <w:rPr>
                <w:rFonts w:ascii="宋体" w:hAnsi="宋体" w:eastAsia="宋体" w:cs="宋体"/>
                <w:b/>
                <w:bCs/>
                <w:color w:val="auto"/>
                <w:kern w:val="0"/>
                <w:sz w:val="28"/>
                <w:szCs w:val="28"/>
                <w:highlight w:val="none"/>
                <w:lang w:bidi="ar"/>
              </w:rPr>
              <w:t>名称</w:t>
            </w:r>
          </w:p>
        </w:tc>
        <w:tc>
          <w:tcPr>
            <w:tcW w:w="4248" w:type="dxa"/>
            <w:vAlign w:val="center"/>
          </w:tcPr>
          <w:p>
            <w:pPr>
              <w:widowControl/>
              <w:jc w:val="center"/>
              <w:rPr>
                <w:rFonts w:ascii="新宋体" w:hAnsi="新宋体" w:eastAsia="新宋体" w:cs="新宋体"/>
                <w:color w:val="auto"/>
                <w:kern w:val="0"/>
                <w:sz w:val="28"/>
                <w:szCs w:val="28"/>
                <w:highlight w:val="none"/>
                <w:lang w:bidi="ar"/>
              </w:rPr>
            </w:pPr>
            <w:r>
              <w:rPr>
                <w:rFonts w:ascii="宋体" w:hAnsi="宋体" w:eastAsia="宋体" w:cs="宋体"/>
                <w:b/>
                <w:bCs/>
                <w:color w:val="auto"/>
                <w:kern w:val="0"/>
                <w:sz w:val="28"/>
                <w:szCs w:val="28"/>
                <w:highlight w:val="none"/>
                <w:lang w:bidi="ar"/>
              </w:rPr>
              <w:t>预算金额（</w:t>
            </w:r>
            <w:r>
              <w:rPr>
                <w:rFonts w:hint="eastAsia" w:ascii="宋体" w:hAnsi="宋体" w:eastAsia="宋体" w:cs="宋体"/>
                <w:b/>
                <w:bCs/>
                <w:color w:val="auto"/>
                <w:kern w:val="0"/>
                <w:sz w:val="28"/>
                <w:szCs w:val="28"/>
                <w:highlight w:val="none"/>
                <w:lang w:bidi="ar"/>
              </w:rPr>
              <w:t>万</w:t>
            </w:r>
            <w:r>
              <w:rPr>
                <w:rFonts w:ascii="宋体" w:hAnsi="宋体" w:eastAsia="宋体" w:cs="宋体"/>
                <w:b/>
                <w:bCs/>
                <w:color w:val="auto"/>
                <w:kern w:val="0"/>
                <w:sz w:val="28"/>
                <w:szCs w:val="28"/>
                <w:highlight w:val="none"/>
                <w:lang w:bidi="ar"/>
              </w:rPr>
              <w:t>元</w:t>
            </w:r>
            <w:r>
              <w:rPr>
                <w:rFonts w:hint="eastAsia" w:ascii="宋体" w:hAnsi="宋体" w:eastAsia="宋体" w:cs="宋体"/>
                <w:b/>
                <w:bCs/>
                <w:color w:val="auto"/>
                <w:kern w:val="0"/>
                <w:sz w:val="28"/>
                <w:szCs w:val="28"/>
                <w:highlight w:val="none"/>
                <w:lang w:bidi="ar"/>
              </w:rPr>
              <w:t>/年</w:t>
            </w:r>
            <w:r>
              <w:rPr>
                <w:rFonts w:ascii="宋体" w:hAnsi="宋体" w:eastAsia="宋体" w:cs="宋体"/>
                <w:b/>
                <w:bCs/>
                <w:color w:val="auto"/>
                <w:kern w:val="0"/>
                <w:sz w:val="28"/>
                <w:szCs w:val="28"/>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127" w:type="dxa"/>
            <w:vAlign w:val="center"/>
          </w:tcPr>
          <w:p>
            <w:pPr>
              <w:widowControl/>
              <w:jc w:val="center"/>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eastAsia="zh-CN" w:bidi="ar"/>
              </w:rPr>
              <w:t>标段</w:t>
            </w:r>
            <w:r>
              <w:rPr>
                <w:rFonts w:hint="eastAsia" w:ascii="新宋体" w:hAnsi="新宋体" w:eastAsia="新宋体" w:cs="新宋体"/>
                <w:color w:val="auto"/>
                <w:kern w:val="0"/>
                <w:sz w:val="28"/>
                <w:szCs w:val="28"/>
                <w:highlight w:val="none"/>
                <w:lang w:bidi="ar"/>
              </w:rPr>
              <w:t>一</w:t>
            </w:r>
          </w:p>
        </w:tc>
        <w:tc>
          <w:tcPr>
            <w:tcW w:w="4248" w:type="dxa"/>
            <w:vAlign w:val="center"/>
          </w:tcPr>
          <w:p>
            <w:pPr>
              <w:widowControl/>
              <w:spacing w:line="400" w:lineRule="exact"/>
              <w:jc w:val="center"/>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127" w:type="dxa"/>
            <w:vAlign w:val="center"/>
          </w:tcPr>
          <w:p>
            <w:pPr>
              <w:widowControl/>
              <w:spacing w:line="400" w:lineRule="exact"/>
              <w:jc w:val="center"/>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eastAsia="zh-CN" w:bidi="ar"/>
              </w:rPr>
              <w:t>标段</w:t>
            </w:r>
            <w:r>
              <w:rPr>
                <w:rFonts w:hint="eastAsia" w:ascii="新宋体" w:hAnsi="新宋体" w:eastAsia="新宋体" w:cs="新宋体"/>
                <w:color w:val="auto"/>
                <w:kern w:val="0"/>
                <w:sz w:val="28"/>
                <w:szCs w:val="28"/>
                <w:highlight w:val="none"/>
                <w:lang w:bidi="ar"/>
              </w:rPr>
              <w:t>二</w:t>
            </w:r>
          </w:p>
        </w:tc>
        <w:tc>
          <w:tcPr>
            <w:tcW w:w="4248" w:type="dxa"/>
            <w:vAlign w:val="center"/>
          </w:tcPr>
          <w:p>
            <w:pPr>
              <w:widowControl/>
              <w:spacing w:line="400" w:lineRule="exact"/>
              <w:jc w:val="center"/>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127" w:type="dxa"/>
            <w:vAlign w:val="center"/>
          </w:tcPr>
          <w:p>
            <w:pPr>
              <w:widowControl/>
              <w:spacing w:line="400" w:lineRule="exact"/>
              <w:jc w:val="center"/>
              <w:rPr>
                <w:rFonts w:ascii="宋体" w:hAnsi="宋体" w:eastAsia="宋体" w:cs="宋体"/>
                <w:color w:val="auto"/>
                <w:kern w:val="0"/>
                <w:sz w:val="28"/>
                <w:szCs w:val="28"/>
                <w:highlight w:val="none"/>
                <w:lang w:bidi="ar"/>
              </w:rPr>
            </w:pPr>
            <w:r>
              <w:rPr>
                <w:rFonts w:hint="eastAsia" w:ascii="新宋体" w:hAnsi="新宋体" w:eastAsia="新宋体" w:cs="新宋体"/>
                <w:color w:val="auto"/>
                <w:kern w:val="0"/>
                <w:sz w:val="28"/>
                <w:szCs w:val="28"/>
                <w:highlight w:val="none"/>
                <w:lang w:eastAsia="zh-CN" w:bidi="ar"/>
              </w:rPr>
              <w:t>标段</w:t>
            </w:r>
            <w:r>
              <w:rPr>
                <w:rFonts w:hint="eastAsia" w:ascii="新宋体" w:hAnsi="新宋体" w:eastAsia="新宋体" w:cs="新宋体"/>
                <w:color w:val="auto"/>
                <w:kern w:val="0"/>
                <w:sz w:val="28"/>
                <w:szCs w:val="28"/>
                <w:highlight w:val="none"/>
                <w:lang w:bidi="ar"/>
              </w:rPr>
              <w:t>三</w:t>
            </w:r>
          </w:p>
        </w:tc>
        <w:tc>
          <w:tcPr>
            <w:tcW w:w="4248" w:type="dxa"/>
            <w:vAlign w:val="center"/>
          </w:tcPr>
          <w:p>
            <w:pPr>
              <w:widowControl/>
              <w:spacing w:line="400" w:lineRule="exact"/>
              <w:jc w:val="center"/>
              <w:rPr>
                <w:rFonts w:ascii="新宋体" w:hAnsi="新宋体" w:eastAsia="新宋体" w:cs="新宋体"/>
                <w:color w:val="auto"/>
                <w:kern w:val="0"/>
                <w:sz w:val="28"/>
                <w:szCs w:val="28"/>
                <w:highlight w:val="none"/>
                <w:lang w:bidi="ar"/>
              </w:rPr>
            </w:pPr>
            <w:r>
              <w:rPr>
                <w:rFonts w:hint="eastAsia" w:ascii="新宋体" w:hAnsi="新宋体" w:eastAsia="新宋体" w:cs="新宋体"/>
                <w:color w:val="auto"/>
                <w:kern w:val="0"/>
                <w:sz w:val="28"/>
                <w:szCs w:val="28"/>
                <w:highlight w:val="none"/>
                <w:lang w:bidi="ar"/>
              </w:rPr>
              <w:t>35</w:t>
            </w:r>
          </w:p>
        </w:tc>
      </w:tr>
    </w:tbl>
    <w:p>
      <w:pPr>
        <w:widowControl/>
        <w:numPr>
          <w:ilvl w:val="0"/>
          <w:numId w:val="3"/>
        </w:numPr>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服务资格期限</w:t>
      </w:r>
    </w:p>
    <w:p>
      <w:pPr>
        <w:widowControl/>
        <w:spacing w:line="400" w:lineRule="exact"/>
        <w:ind w:firstLine="480" w:firstLineChars="200"/>
        <w:jc w:val="left"/>
        <w:rPr>
          <w:rFonts w:ascii="新宋体" w:hAnsi="新宋体" w:eastAsia="新宋体" w:cs="新宋体"/>
          <w:bCs/>
          <w:color w:val="auto"/>
          <w:sz w:val="24"/>
          <w:highlight w:val="none"/>
        </w:rPr>
      </w:pPr>
      <w:r>
        <w:rPr>
          <w:rFonts w:hint="eastAsia" w:ascii="新宋体" w:hAnsi="新宋体" w:eastAsia="新宋体" w:cs="新宋体"/>
          <w:bCs/>
          <w:color w:val="auto"/>
          <w:sz w:val="24"/>
          <w:highlight w:val="none"/>
        </w:rPr>
        <w:t>签订服务合同的第2个自然月起两周年</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二、</w:t>
      </w:r>
      <w:r>
        <w:rPr>
          <w:rFonts w:hint="eastAsia" w:ascii="新宋体" w:hAnsi="新宋体" w:eastAsia="新宋体" w:cs="新宋体"/>
          <w:b/>
          <w:bCs/>
          <w:color w:val="auto"/>
          <w:kern w:val="0"/>
          <w:sz w:val="24"/>
          <w:highlight w:val="none"/>
          <w:lang w:eastAsia="zh-CN" w:bidi="ar"/>
        </w:rPr>
        <w:t>维保单位</w:t>
      </w:r>
      <w:r>
        <w:rPr>
          <w:rFonts w:hint="eastAsia" w:ascii="新宋体" w:hAnsi="新宋体" w:eastAsia="新宋体" w:cs="新宋体"/>
          <w:b/>
          <w:bCs/>
          <w:color w:val="auto"/>
          <w:kern w:val="0"/>
          <w:sz w:val="24"/>
          <w:highlight w:val="none"/>
          <w:lang w:bidi="ar"/>
        </w:rPr>
        <w:t>管理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须及时响应</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车辆维修服务，按约定的计价原则、结算方式进行结算，遵守</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的相关管理制度，服从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的诚信综合评价管理。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（二）诚信综合评价采用百分制，基准分为100分，针对每个</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的维修情况、服务质量、不良行为等方面进行综合评价，对不良行为记录进行相应扣分，扣分项下限设定为该项基准分值扣至零分为止。</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每季度公布</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的诚信综合评价得分。每季度的诚信综合评价得分累计平均值为年度诚信综合评价得分，年度诚信综合评分作为后续公司选择</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的重要择优依据。</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（四）</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发生提供虚假信息、违反诚实信用、未按规定执行机动车维修质量保证期制度等不良行为，立即取消该</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的定点维修保养服务资格，且</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有权将其记入黑名单并拒绝其参与后续公司的项目采购活动。</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三、送修手续</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应立即响应</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的维修/保养需求，并派车辆定点维修相关人员前往故障地点或存放点将车辆接送至维修场所。</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对送修车辆进行细致检查，并出具车辆维修费明细（报价单），注明送修车辆的品牌型号、车牌号、维修项目、完成维修的时间及此次维修报价金额（工时费和材料费）；并报</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，车辆维修费明细（报价单）经</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签名及盖章后方可维修。</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维修车辆结束后，须填写车辆维修结算清单，认真填写车辆维修的具体部位和消耗的材料、部件、计价情况、工时费及质量保证期，注明优惠事宜。</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（四）</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应将完成维修的车辆送还至</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应对修复车辆认真检查、试车，验收符合要求后双方签署车辆维修结算清单予以确认。</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（五）每月结算时</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应填写车辆维修情况汇总表进行核对。</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（六）服务期限内，如</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送修手续有变更、修改或补充的，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须执行新的规定。</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（七）车辆维修费明细（报价单）、车辆维修结算清单、车辆维修情况汇总表一式多份，并输入电脑备份，</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各持一份。具体格式以</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要求为准。</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四、服务要求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（一）维修能力要求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车辆品牌众多、需维修项目覆盖面广，</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必须具备整车大修能力及可提供满足</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现有车型的维修保养经营项目。根据经营项目和服务能力要求，</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必须为“从事二类或以上维修经营业务”的企业，并提供证明文件扫描件。</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2.★具备一级维护、二级维护、车辆大修、总成修理、车辆小修和车辆专项修理能力，提供二十四小时拖车服务、代办车辆年审服务、交通事故车辆维修服务和其他有关的汽车维修服务等。</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（二）场地及设施要求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1.★场地符合国家规定的标准要求，满足为</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提供同时维修或保养多台大型作业车辆的维修场地，并且交通便利（或设有合理、明显的指示标志）；</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2.修理车间布局合理、车间设施良好、修理工位标示明确；</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3.企业各功能区标志清晰，企业资质证明、员工资格证明、营业时间要明确展示；</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4.提供足够的停车场地和接待区，接待区要有满足客户登记和休息的设施。</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（三）设备要求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1.符合GB/T16739.1-2014标准，并配备有车辆救援的专用设备及车辆。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2.重要检测维修设备、操作规程实施有效，专人对设备的使用进行管理，保证状态良好。</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（四）经营要求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1.日常运作（接车、维修、交车、结算、投诉、索赔）要做到规范化、制度化，严格落实岗位责任制度，形成岗位责任追究制度，促进生产管理活动有秩序地进行。</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2.★严格按照交车时限来安排维修服务，总成大修不超过15天，发动机大修不超过7天，其他维修项目3天内完成。如确因使用进口配件或特殊情况等原因不能在规定时限内交车的，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要提前48小时与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联系，取得</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的同意。</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3.送修单上没有的项目，在维修过程中发现某些项目是必须追加的，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应立即告知</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，确认同意后，方能增加费用开始实施，并同时要追加送修单或在原送修单上补项。</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对送修车辆进行检查后，若</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对</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出具的车辆维修费明细（报价单）有异议，</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应无偿将车辆恢复原貌并送还</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5.车辆竣工出厂后，</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应建立</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车辆档案（包括用户名称、地址、电话、联系人、车牌号、维修资料等），以便今后联系、调查和服务。</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6.送修的车辆在</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维修期间（自</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提车之日起至完成车辆维修项目归还</w:t>
      </w:r>
      <w:r>
        <w:rPr>
          <w:rFonts w:hint="eastAsia" w:ascii="新宋体" w:hAnsi="新宋体" w:eastAsia="新宋体" w:cs="新宋体"/>
          <w:color w:val="auto"/>
          <w:kern w:val="0"/>
          <w:sz w:val="24"/>
          <w:highlight w:val="none"/>
          <w:lang w:eastAsia="zh-CN" w:bidi="ar"/>
        </w:rPr>
        <w:t>送修单位</w:t>
      </w:r>
      <w:r>
        <w:rPr>
          <w:rFonts w:hint="eastAsia" w:ascii="新宋体" w:hAnsi="新宋体" w:eastAsia="新宋体" w:cs="新宋体"/>
          <w:color w:val="auto"/>
          <w:kern w:val="0"/>
          <w:sz w:val="24"/>
          <w:highlight w:val="none"/>
          <w:lang w:bidi="ar"/>
        </w:rPr>
        <w:t>指定地点为止）出现丢失、损毁、违章、事故的，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应承担所有赔偿责任。</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7.除试车外，未经</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允许</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不得将车开出厂作它用，由此造成的一切损失及风险由</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负责。</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8.★</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必须配备有维修及救援的专用设备及车辆，在广州市行政区域范围内免费提供24小时拖车和接送服务，路途中产生的费用、事故责任由</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承担。</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9.★</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的车辆有维修或保养需求的，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应立即响应，并在广州市中心六区（越秀、荔湾、海珠、天河、白云、原黄埔区及广州大学城，下同）内60分钟内、广州市内且中心六区外120分钟内到达现场，若</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的车辆在广州市外有维修需求，双方可协商处理。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10.</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不得以其服务项目的服务对象、车辆数量及经费预算等为由，拒绝服务或降低服务质量，应当严格按照</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和合同约定提供维修服务，并保证维修质量。</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五、管理要求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的服务项目、服务收费、服务承诺等内容等应向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公开，在业务接待室的显眼处公布企业的有关证照、质量保证规定、监督投诉电话。</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（二）维修管理制度、财务管理制度、岗位责任制度、质量控制制度健全、有效、合理。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（三）维修流程环节清楚、合理、有序，服务人员着装整洁、佩带标牌、能够提供文明、优质的服务。</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（四）有符合规定的出厂质检工序。</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（五）重要检测维修设备、操作规程实施有效，专人对设备的使用进行管理，保证状态良好。</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（六）投诉渠道</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为了统一监管，保障</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及</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双方的权利和效益，建立以下投诉监管制度。具体方式为：</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可就</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的维修质量或服务问题向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车辆管理部门投诉，经核查，如情况属实则该投诉有效，</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车辆管理部门将记录在案并按规定的方式处理。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可就</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所提出的除维修或服务以外的要求向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车辆管理部门反映。</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（七）</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对维修费用有异议时，有权对</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的维修材料费和工时费进行审查。</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（八）如</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发生倒闭、破产等情况，</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有权单方终止合同并重新采购维修/保养服务。已维修的车辆保修、已产生的服务费用支付等事项，双方可协商处理。</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六、质量要求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（一）★所采用的零部件、配件等材料进货必须首先使用原厂配套的合格产品，如无原厂配件，经</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同意方可使用品牌产品替代，所采用的零部件、配件等材料必须符合国家或部颁标准和行业标准以及汽车维修相关标准。必须有合法的进货渠道，不得使用假冒伪劣产品或以次充好。单个配件500元（含）以上的，必须有配件进货单；单个配件1000元（含）以上的，</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有权进行市场询价，</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报价不得高于询价中最低价的110%。经</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同意，可以用替代件或旧件的，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必须在材料清单中加以注明，否则不得使用旧件。</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为</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送修车辆进行维修保养时必须严格按照国家、行业、地方有关标准和规范执行，保证维修质量，不低于《机动车维修管理规定》和《机动车维修服务规范》（以最新版本为准）中的有关规定和标准。</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（三）</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对车辆进行大修前，应当实行维修前诊断检验、维修过程检验和竣工质量检验制度。</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（四）车辆大修的具体硬件内容及质量要求。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1．按标准更换所需更换的零部件，装配的零件、部件、总成和附件符合相应的大修技术条件。</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2．各项装备应按原出厂车配备齐全，或大修的装配技术条件安装，主要结构参数符合原设计或大修规定。</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3．驾驶室、车身的形状应正确达到大修标准,保险前杠必须平整、无松弛、无污垢及机械损伤等缺陷，驾驶室反转灵活。</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4．喷漆颜色与原车一致，漆油采用原出厂车标准、协调、均匀、光亮、漆层无裂纹、剥落、起泡、流痕、皱纹等现象。</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5．座椅的形状、尺寸，座间距及调节装置符合原设计或大修要求。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6．门窗启闭应灵活、关闭严密、锁止可靠、合缝匀称、不松旷，各玻璃应透明、光亮、紧固、密封。</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7．转向机构各连接部位不松旷、锁止可靠、合缝匀称达到大修要求，转向盘转向灵活、不拖滞、虚位正常。</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8．离合器踏板、制动踏板的自由行程和驻车制动的有效行程符合原设计或大修要求。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9．仪表、灯光、信号、标志齐全，工作正常。</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10．轮胎气压，电池符合原设计要求。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11．各部运行温度正常，各处无漏油、漏水、漏电、漏气现象。</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12．车辆大樑、横樑必须按大修要求进行校验、修理。</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13．前、中、后桥及桥座必须按大修要求进行修理。</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14．汽车排放限值应符合国家有关规定。</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（五）悬挂系统必须按大修要求进行修理，钢板必须全部更换(钢板厚度和件数按原车设计要求)车辆大修的主要性能质量要求：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1．发动机功率/动力达到原新车95%以上，发动机起动容易，在各种转速下运转正常，无异响，发动机所有线束必须更换新线、气缸套、活塞、活塞环、活塞销，轴瓦必须更换。</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2．传动机构工作正常、无异响，离合器接合平稳、分离彻底、操纵轻便、工作可靠，变速器换挡轻便、准确可靠，必须更换横直拉杆球头，转动轴“十”字头。</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3．转向机构操纵轻便，行驶中无跑偏、摆头发抖现象，前轮定位、最大转向角及最小转弯半径符合原设计要求。</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4．制动要求符合原设计或大修的规定。刹车鼓接近极限值的2mm不能用。制动性能应符合《中华人民共和国机动车制动检验规范》（试行）（[80]交公路字259号）的规定。</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5．汽车排放限定应符合国家有关规定，达到地方要求标准。</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六）★送修车辆合格出厂后，依法实行竣工出厂质量保证期制度。车辆竣工出厂执行质量保证期制度，不能低于中华人民共和国交通部所颁布的《交通运输部关于修改&lt;机动车维修管理规定&gt;的决定（交通运输部令2021年第18号）》的标准即：汽车整车修理或总成修理质量保证期为车辆行驶20000公里或者100日；二级维护质量保证期为车辆行驶5000公里或者30日；一级维护、小修及专项修理质量保证期为车辆行驶2000公里或者10日。质量保证期中行驶里程和日期指标，以先达到者为准；维修质量保证期从维修竣工出厂之日起计算。</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（七）在质量保证期内，更换新配件质保期为6个月、替代件或旧件质保期为3个月，国家另有规定的从其规定。因维修质量或与维修约定不符的问题造成的车辆故障或损坏的，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应无偿返修，直至符合质量要求为止，且由此造成的车辆异常损坏或车辆机件事故的，给</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造成的一切损失及风险由</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负责。</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（八）车辆返修率要控制在5%以内，并建立汽车维修档案，认真记录车辆维修情况。</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七、维修费用</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（一）维修费计价公式</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1．维修费结算价＝维修项目工时费＋维修材料费＋年审费（如有）</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2．维修项目工时费=维修项目工时费收费标准×（1-维修项目工时费下浮率）</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3．维修材料费＝维修材料基准价×（1+维修材料管理费率）</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4．年审费=年审费收费标准×（1-年审费下浮率）</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（二）报价要求</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1．维修项目工时费下浮率（单位：%）</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按照《车辆维修项目工时费明细表》（详见附件1），报出统一的维修项目工时费下浮率,</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按照“维修项目工时费＝维修项目工时费收费标准×（1-维修项目工时费下浮率）”与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结算维修项目工时费。</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所报“维修项目工时费下浮率”范围为：0%＜维修项目工时费下浮率≤100%，维修项目工时费下浮率必须为固定值（保留小数点后两位），不接受区间报价。</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(3)当《车辆维修项目工时费明细表》中没有相应标准的车型时，结算时按相近的车型计算。</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(4)未在《车辆维修项目工时费明细表》中列出的维修项目，如在实施过程中需发生的，</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应根据市场价报价经</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审核同意后，方可实施，结算时按统一维修项目工时费下浮率计算。</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(5)一旦发现</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未按照《车辆维修项目工时费明细表》的收费标准执行的，将按违约处理。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2．维修材料管理费率（单位：%）</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按照《维修材料管理费率》，报出统一的维修材料管理费率,</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按照“维修材料费＝维修材料基准价×（1+维修材料管理费率）”与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结算维修材料费。</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所报“维修材料管理费率”范围为：0%＜维修材料管理费率≤100%，维修材料管理费率必须为固定值（保留小数点后两位），不接受区间报价。</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(3)维修材料基准价按当时广州市市场进货价为基准报价，所有原厂维修材料基准价格均不得高于该品牌专卖店（4S 店）该型号材料当时价格的80%。如使用原厂维修材料以外的合规品牌件，价格应参考该维修材料品牌主要电商自营店、旗舰店销售价或主要电商平台内主营该车型配件的店铺销售价。个别原厂维修材料以外的合规品牌件价格实际采购价格偏离前述核价途径所得价格的，中选人应向采购人车辆管理部门提出书面申请（附有效证明材料），经批准方可按核准的价格进行维修材料采购，但所核定的价格不得高于该车辆品牌4S店该型号材料当时价格的80%，且不收取维修材料管理费。</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采购人不定期对</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所报零配件品牌价格进行抽查，以市面上主要零配件报价平台所列价格为基准，该平台由采购人车辆管理部门确定并通知中选人，并在合同期内视实际情况进行调整。如该零配件价格高于该平台内参考价的视为报价虚高。如中选人对核查结果存在异议，可在3个工作日内向采购人车管部门申请复核。复核依据为该配件品牌4S店销售价或该零配件品牌主要电商自营店、旗舰店销售价或主要电商平台内主营该车型配件的店铺销售价。</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3．年审费下浮率（单位：%）</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按照《车辆年审费明细表》，报出统一的年审费下浮率,</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按照“年审费＝年审费收费标准×（1-年审费下浮率）”与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结算年审费。</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所报“年审费下浮率”范围为：0%＜年审费下浮率≤100%，年审费下浮率必须为固定值（保留小数点后两位），不接受区间报价。</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(3)一旦发现</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未按照《车辆年审费明细表》的收费标准执行的，将按违约处理。</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4．以上报价已包括税费、材料费、人工费、利润等费用，</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不再额外支付任何费用。</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（三）结算方式</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每月5日前（如遇节假日顺延）将上月维修汇总清单（一车一清单）以纸质（加盖单位公章）和电子版两种形式交付</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审核，作为支付的必须凭证。</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审核无误后通知</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开具发票，</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在每月收到</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提交的合法有效的增值税专用发票后支付车辆维修费用。</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2．维修费用以银行转账形式进行支付。</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开具的发票必须与法人一致。</w:t>
      </w:r>
    </w:p>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八、合同签订</w:t>
      </w:r>
    </w:p>
    <w:p>
      <w:pPr>
        <w:widowControl/>
        <w:spacing w:line="400" w:lineRule="exact"/>
        <w:ind w:firstLine="480" w:firstLineChars="200"/>
        <w:jc w:val="left"/>
        <w:rPr>
          <w:rFonts w:hint="eastAsia"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（一）★本采购实行统购分签模式，</w:t>
      </w:r>
      <w:r>
        <w:rPr>
          <w:rFonts w:hint="eastAsia" w:ascii="新宋体" w:hAnsi="新宋体" w:eastAsia="新宋体" w:cs="新宋体"/>
          <w:color w:val="auto"/>
          <w:kern w:val="0"/>
          <w:sz w:val="24"/>
          <w:highlight w:val="none"/>
          <w:lang w:eastAsia="zh-CN" w:bidi="ar"/>
        </w:rPr>
        <w:t>各标段中选人需与采购人就服务对象签定服务采购合同（签约单位分别是：广州市自来水工程有限公司、广州自来水专业建安有限公司、广州自来水管道工程有限公司、广州市自来水制管有限公司、广州市润水物业管理有限公司）</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color w:val="auto"/>
          <w:highlight w:val="none"/>
        </w:rPr>
      </w:pPr>
      <w:r>
        <w:rPr>
          <w:rFonts w:hint="eastAsia" w:ascii="新宋体" w:hAnsi="新宋体" w:eastAsia="新宋体" w:cs="新宋体"/>
          <w:color w:val="auto"/>
          <w:kern w:val="0"/>
          <w:sz w:val="24"/>
          <w:highlight w:val="none"/>
          <w:lang w:bidi="ar"/>
        </w:rPr>
        <w:t>（二）服务期限为签订服务合同的第2个自然月起两周年。合同一年一签，合同一年期满后，根据</w:t>
      </w:r>
      <w:r>
        <w:rPr>
          <w:rFonts w:hint="eastAsia" w:ascii="新宋体" w:hAnsi="新宋体" w:eastAsia="新宋体" w:cs="新宋体"/>
          <w:color w:val="auto"/>
          <w:kern w:val="0"/>
          <w:sz w:val="24"/>
          <w:highlight w:val="none"/>
          <w:lang w:eastAsia="zh-CN" w:bidi="ar"/>
        </w:rPr>
        <w:t>维保单位</w:t>
      </w:r>
      <w:r>
        <w:rPr>
          <w:rFonts w:hint="eastAsia" w:ascii="新宋体" w:hAnsi="新宋体" w:eastAsia="新宋体" w:cs="新宋体"/>
          <w:color w:val="auto"/>
          <w:kern w:val="0"/>
          <w:sz w:val="24"/>
          <w:highlight w:val="none"/>
          <w:lang w:bidi="ar"/>
        </w:rPr>
        <w:t>的服务质量，采购人有权决定是否续签第二年合同；如不续签，则采用其他规定的方式选出新的</w:t>
      </w:r>
      <w:r>
        <w:rPr>
          <w:rFonts w:hint="eastAsia" w:ascii="新宋体" w:hAnsi="新宋体" w:eastAsia="新宋体" w:cs="新宋体"/>
          <w:color w:val="auto"/>
          <w:kern w:val="0"/>
          <w:sz w:val="24"/>
          <w:highlight w:val="none"/>
          <w:lang w:eastAsia="zh-CN" w:bidi="ar"/>
        </w:rPr>
        <w:t>维保</w:t>
      </w:r>
      <w:r>
        <w:rPr>
          <w:rFonts w:hint="eastAsia" w:ascii="新宋体" w:hAnsi="新宋体" w:eastAsia="新宋体" w:cs="新宋体"/>
          <w:color w:val="auto"/>
          <w:kern w:val="0"/>
          <w:sz w:val="24"/>
          <w:highlight w:val="none"/>
          <w:lang w:bidi="ar"/>
        </w:rPr>
        <w:t>单位。</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九、其他说明</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（一）除</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提出的各项服务要求外，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可根据自身条件，说明可提供的其他优惠或特色服务，如列出属于免收人工费的维修项目。</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提供的优惠或特色服务必须是符合国家相关规定与服务项目相关的内容。</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jc w:val="center"/>
        <w:rPr>
          <w:rFonts w:ascii="宋体" w:hAnsi="宋体" w:eastAsia="宋体" w:cs="宋体"/>
          <w:b/>
          <w:bCs/>
          <w:color w:val="auto"/>
          <w:kern w:val="0"/>
          <w:sz w:val="32"/>
          <w:szCs w:val="32"/>
          <w:highlight w:val="none"/>
          <w:lang w:bidi="ar"/>
        </w:rPr>
      </w:pPr>
      <w:r>
        <w:rPr>
          <w:rFonts w:hint="eastAsia" w:ascii="宋体" w:hAnsi="宋体" w:eastAsia="宋体" w:cs="宋体"/>
          <w:b/>
          <w:bCs/>
          <w:color w:val="auto"/>
          <w:kern w:val="0"/>
          <w:sz w:val="32"/>
          <w:szCs w:val="32"/>
          <w:highlight w:val="none"/>
          <w:lang w:bidi="ar"/>
        </w:rPr>
        <w:t>第六部分  合同书格式</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jc w:val="center"/>
        <w:rPr>
          <w:color w:val="auto"/>
          <w:sz w:val="32"/>
          <w:szCs w:val="32"/>
          <w:highlight w:val="none"/>
        </w:rPr>
      </w:pPr>
      <w:r>
        <w:rPr>
          <w:rFonts w:ascii="宋体" w:hAnsi="宋体" w:eastAsia="宋体" w:cs="宋体"/>
          <w:b/>
          <w:bCs/>
          <w:color w:val="auto"/>
          <w:kern w:val="0"/>
          <w:sz w:val="32"/>
          <w:szCs w:val="32"/>
          <w:highlight w:val="none"/>
          <w:lang w:bidi="ar"/>
        </w:rPr>
        <w:t xml:space="preserve">第七部分 </w:t>
      </w:r>
      <w:r>
        <w:rPr>
          <w:rFonts w:hint="eastAsia" w:ascii="宋体" w:hAnsi="宋体" w:eastAsia="宋体" w:cs="宋体"/>
          <w:b/>
          <w:bCs/>
          <w:color w:val="auto"/>
          <w:kern w:val="0"/>
          <w:sz w:val="32"/>
          <w:szCs w:val="32"/>
          <w:highlight w:val="none"/>
          <w:lang w:bidi="ar"/>
        </w:rPr>
        <w:t>响应</w:t>
      </w:r>
      <w:r>
        <w:rPr>
          <w:rFonts w:ascii="宋体" w:hAnsi="宋体" w:eastAsia="宋体" w:cs="宋体"/>
          <w:b/>
          <w:bCs/>
          <w:color w:val="auto"/>
          <w:kern w:val="0"/>
          <w:sz w:val="32"/>
          <w:szCs w:val="32"/>
          <w:highlight w:val="none"/>
          <w:lang w:bidi="ar"/>
        </w:rPr>
        <w:t>文件格式</w:t>
      </w:r>
    </w:p>
    <w:p>
      <w:pPr>
        <w:widowControl/>
        <w:ind w:firstLine="480" w:firstLineChars="200"/>
        <w:jc w:val="left"/>
        <w:rPr>
          <w:rFonts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响应文件包括但不限于以下组成内容，请按顺序制作，本章有提供格式文件的请按格式要求提交。</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6075"/>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序号</w:t>
            </w:r>
          </w:p>
        </w:tc>
        <w:tc>
          <w:tcPr>
            <w:tcW w:w="6075"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文件名称</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盖章要求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封面</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2</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★报价表</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3</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★法定代表人资格证明书</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4</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法定代表人授权委托书</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5</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声明</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6</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报价意向承诺及声明函</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7</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★营业执照</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8</w:t>
            </w:r>
          </w:p>
        </w:tc>
        <w:tc>
          <w:tcPr>
            <w:tcW w:w="6075" w:type="dxa"/>
          </w:tcPr>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★属地交管部门签章的《机动车维修经营备案表》或有</w:t>
            </w:r>
          </w:p>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效期内的原道路运输经营许可证</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9</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val="en-GB" w:eastAsia="zh-CN" w:bidi="ar"/>
              </w:rPr>
              <w:t>报价人</w:t>
            </w:r>
            <w:r>
              <w:rPr>
                <w:rFonts w:hint="eastAsia" w:ascii="新宋体" w:hAnsi="新宋体" w:eastAsia="新宋体" w:cs="新宋体"/>
                <w:color w:val="auto"/>
                <w:kern w:val="0"/>
                <w:sz w:val="24"/>
                <w:highlight w:val="none"/>
                <w:lang w:val="en-GB" w:bidi="ar"/>
              </w:rPr>
              <w:t>业绩表</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10</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有效服务点信息及证明材料</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11</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证书一览表</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12</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拟派本项目技术服务人员情况表</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13</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信誉</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14</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拟投入本项目维修设备情况表</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15</w:t>
            </w:r>
          </w:p>
        </w:tc>
        <w:tc>
          <w:tcPr>
            <w:tcW w:w="6075"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服务方案及证明材料</w:t>
            </w:r>
          </w:p>
        </w:tc>
        <w:tc>
          <w:tcPr>
            <w:tcW w:w="158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16</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★实质性条款响应情况</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17</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服务方案一般性条款响应差异表</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t>18</w:t>
            </w:r>
          </w:p>
        </w:tc>
        <w:tc>
          <w:tcPr>
            <w:tcW w:w="6075" w:type="dxa"/>
          </w:tcPr>
          <w:p>
            <w:pPr>
              <w:widowControl/>
              <w:spacing w:line="400" w:lineRule="exact"/>
              <w:jc w:val="left"/>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认为有需要证明的其他证明材料</w:t>
            </w:r>
          </w:p>
        </w:tc>
        <w:tc>
          <w:tcPr>
            <w:tcW w:w="1587" w:type="dxa"/>
          </w:tcPr>
          <w:p>
            <w:pPr>
              <w:widowControl/>
              <w:spacing w:line="400" w:lineRule="exact"/>
              <w:jc w:val="center"/>
              <w:rPr>
                <w:rFonts w:ascii="新宋体" w:hAnsi="新宋体" w:eastAsia="新宋体" w:cs="新宋体"/>
                <w:b/>
                <w:bCs/>
                <w:color w:val="auto"/>
                <w:kern w:val="0"/>
                <w:sz w:val="24"/>
                <w:highlight w:val="none"/>
                <w:lang w:bidi="ar"/>
              </w:rPr>
            </w:pPr>
            <w:r>
              <w:rPr>
                <w:rFonts w:hint="eastAsia" w:ascii="新宋体" w:hAnsi="新宋体" w:eastAsia="新宋体" w:cs="新宋体"/>
                <w:color w:val="auto"/>
                <w:kern w:val="0"/>
                <w:sz w:val="24"/>
                <w:highlight w:val="none"/>
                <w:lang w:bidi="ar"/>
              </w:rPr>
              <w:t>盖章</w:t>
            </w:r>
          </w:p>
        </w:tc>
      </w:tr>
    </w:tbl>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center"/>
        <w:rPr>
          <w:rFonts w:ascii="新宋体" w:hAnsi="新宋体" w:eastAsia="新宋体" w:cs="新宋体"/>
          <w:color w:val="auto"/>
          <w:sz w:val="24"/>
          <w:highlight w:val="none"/>
        </w:rPr>
      </w:pPr>
      <w:r>
        <w:rPr>
          <w:rFonts w:hint="eastAsia" w:ascii="新宋体" w:hAnsi="新宋体" w:eastAsia="新宋体" w:cs="新宋体"/>
          <w:b/>
          <w:bCs/>
          <w:color w:val="auto"/>
          <w:kern w:val="0"/>
          <w:sz w:val="24"/>
          <w:highlight w:val="none"/>
          <w:lang w:bidi="ar"/>
        </w:rPr>
        <w:t>特别提示与要求！</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请</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严格按照表格内容及要求制作响应文件，所有证书类文件提供原件复印件且必须在有效期内，表中带★的材料将作为</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资格性和符合性审查的重要内容之一。</w:t>
      </w:r>
    </w:p>
    <w:p>
      <w:pPr>
        <w:rPr>
          <w:rFonts w:ascii="新宋体" w:hAnsi="新宋体" w:eastAsia="新宋体" w:cs="新宋体"/>
          <w:b/>
          <w:bCs/>
          <w:color w:val="auto"/>
          <w:kern w:val="0"/>
          <w:sz w:val="24"/>
          <w:highlight w:val="none"/>
          <w:lang w:bidi="ar"/>
        </w:rPr>
      </w:pPr>
    </w:p>
    <w:p>
      <w:pP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封面</w:t>
      </w:r>
    </w:p>
    <w:p>
      <w:pPr>
        <w:widowControl/>
        <w:spacing w:line="400" w:lineRule="exact"/>
        <w:jc w:val="center"/>
        <w:rPr>
          <w:rFonts w:ascii="新宋体" w:hAnsi="新宋体" w:eastAsia="新宋体" w:cs="新宋体"/>
          <w:b/>
          <w:bCs/>
          <w:color w:val="auto"/>
          <w:kern w:val="0"/>
          <w:sz w:val="30"/>
          <w:szCs w:val="30"/>
          <w:highlight w:val="none"/>
          <w:lang w:bidi="ar"/>
        </w:rPr>
      </w:pPr>
    </w:p>
    <w:p>
      <w:pPr>
        <w:pStyle w:val="5"/>
        <w:rPr>
          <w:rFonts w:ascii="新宋体" w:hAnsi="新宋体" w:eastAsia="新宋体" w:cs="新宋体"/>
          <w:b/>
          <w:bCs/>
          <w:color w:val="auto"/>
          <w:sz w:val="30"/>
          <w:szCs w:val="30"/>
          <w:highlight w:val="none"/>
          <w:lang w:bidi="ar"/>
        </w:rPr>
      </w:pPr>
    </w:p>
    <w:p>
      <w:pPr>
        <w:pStyle w:val="6"/>
        <w:rPr>
          <w:color w:val="auto"/>
          <w:highlight w:val="none"/>
        </w:rPr>
      </w:pPr>
    </w:p>
    <w:p>
      <w:pPr>
        <w:widowControl/>
        <w:spacing w:line="400" w:lineRule="exact"/>
        <w:jc w:val="center"/>
        <w:rPr>
          <w:rFonts w:ascii="新宋体" w:hAnsi="新宋体" w:eastAsia="新宋体" w:cs="新宋体"/>
          <w:b/>
          <w:bCs/>
          <w:color w:val="auto"/>
          <w:kern w:val="0"/>
          <w:sz w:val="30"/>
          <w:szCs w:val="30"/>
          <w:highlight w:val="none"/>
          <w:lang w:bidi="ar"/>
        </w:rPr>
      </w:pP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_________________________________________________________________项目</w:t>
      </w:r>
    </w:p>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响应文件</w:t>
      </w: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pStyle w:val="5"/>
        <w:rPr>
          <w:rFonts w:ascii="新宋体" w:hAnsi="新宋体" w:eastAsia="新宋体" w:cs="新宋体"/>
          <w:color w:val="auto"/>
          <w:sz w:val="24"/>
          <w:highlight w:val="none"/>
          <w:lang w:bidi="ar"/>
        </w:rPr>
      </w:pPr>
    </w:p>
    <w:p>
      <w:pPr>
        <w:pStyle w:val="6"/>
        <w:rPr>
          <w:color w:val="auto"/>
          <w:highlight w:val="none"/>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ind w:left="1260" w:leftChars="6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：___________________________</w:t>
      </w:r>
    </w:p>
    <w:p>
      <w:pPr>
        <w:widowControl/>
        <w:spacing w:line="400" w:lineRule="exact"/>
        <w:ind w:left="1260" w:leftChars="600"/>
        <w:jc w:val="left"/>
        <w:rPr>
          <w:rFonts w:ascii="新宋体" w:hAnsi="新宋体" w:eastAsia="新宋体" w:cs="新宋体"/>
          <w:color w:val="auto"/>
          <w:kern w:val="0"/>
          <w:sz w:val="24"/>
          <w:highlight w:val="none"/>
          <w:lang w:bidi="ar"/>
        </w:rPr>
      </w:pPr>
    </w:p>
    <w:p>
      <w:pPr>
        <w:widowControl/>
        <w:spacing w:line="400" w:lineRule="exact"/>
        <w:ind w:left="1260" w:leftChars="600" w:firstLine="720" w:firstLineChars="3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__________年________月________日</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报 价 表</w:t>
      </w:r>
    </w:p>
    <w:p>
      <w:pPr>
        <w:widowControl/>
        <w:spacing w:line="400" w:lineRule="exact"/>
        <w:jc w:val="center"/>
        <w:rPr>
          <w:rFonts w:ascii="新宋体" w:hAnsi="新宋体" w:eastAsia="新宋体" w:cs="新宋体"/>
          <w:b/>
          <w:bCs/>
          <w:color w:val="auto"/>
          <w:kern w:val="0"/>
          <w:sz w:val="30"/>
          <w:szCs w:val="30"/>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spacing w:line="400" w:lineRule="exact"/>
              <w:jc w:val="left"/>
              <w:rPr>
                <w:rFonts w:hint="eastAsia" w:ascii="新宋体" w:hAnsi="新宋体" w:eastAsia="新宋体" w:cs="新宋体"/>
                <w:color w:val="auto"/>
                <w:kern w:val="0"/>
                <w:sz w:val="24"/>
                <w:highlight w:val="none"/>
                <w:lang w:eastAsia="zh-CN" w:bidi="ar"/>
              </w:rPr>
            </w:pPr>
            <w:r>
              <w:rPr>
                <w:rFonts w:hint="eastAsia" w:ascii="新宋体" w:hAnsi="新宋体" w:eastAsia="新宋体" w:cs="新宋体"/>
                <w:color w:val="auto"/>
                <w:kern w:val="0"/>
                <w:sz w:val="24"/>
                <w:highlight w:val="none"/>
                <w:lang w:bidi="ar"/>
              </w:rPr>
              <w:t>响应</w:t>
            </w:r>
            <w:r>
              <w:rPr>
                <w:rFonts w:hint="eastAsia" w:ascii="新宋体" w:hAnsi="新宋体" w:eastAsia="新宋体" w:cs="新宋体"/>
                <w:color w:val="auto"/>
                <w:kern w:val="0"/>
                <w:sz w:val="24"/>
                <w:highlight w:val="none"/>
                <w:lang w:eastAsia="zh-CN" w:bidi="ar"/>
              </w:rPr>
              <w:t>标段</w:t>
            </w:r>
          </w:p>
        </w:tc>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u w:val="single"/>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维修项目工时费下浮率(%)</w:t>
            </w:r>
          </w:p>
        </w:tc>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报价下浮率</w:t>
            </w:r>
            <w:r>
              <w:rPr>
                <w:rFonts w:hint="eastAsia" w:ascii="新宋体" w:hAnsi="新宋体" w:eastAsia="新宋体" w:cs="新宋体"/>
                <w:color w:val="auto"/>
                <w:kern w:val="0"/>
                <w:sz w:val="24"/>
                <w:highlight w:val="none"/>
                <w:lang w:val="en-US" w:eastAsia="zh-CN" w:bidi="ar"/>
              </w:rPr>
              <w:t>:</w:t>
            </w:r>
            <w:r>
              <w:rPr>
                <w:rFonts w:hint="eastAsia" w:ascii="新宋体" w:hAnsi="新宋体" w:eastAsia="新宋体" w:cs="新宋体"/>
                <w:color w:val="auto"/>
                <w:kern w:val="0"/>
                <w:sz w:val="24"/>
                <w:highlight w:val="none"/>
                <w:u w:val="single"/>
                <w:lang w:val="en-US" w:eastAsia="zh-CN" w:bidi="ar"/>
              </w:rPr>
              <w:t xml:space="preserve">      </w:t>
            </w:r>
            <w:r>
              <w:rPr>
                <w:rFonts w:hint="eastAsia" w:ascii="新宋体" w:hAnsi="新宋体" w:eastAsia="新宋体" w:cs="新宋体"/>
                <w:color w:val="auto"/>
                <w:kern w:val="0"/>
                <w:sz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维修材料管理费率(%)</w:t>
            </w:r>
          </w:p>
        </w:tc>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管理费率</w:t>
            </w:r>
            <w:r>
              <w:rPr>
                <w:rFonts w:hint="eastAsia" w:ascii="新宋体" w:hAnsi="新宋体" w:eastAsia="新宋体" w:cs="新宋体"/>
                <w:color w:val="auto"/>
                <w:kern w:val="0"/>
                <w:sz w:val="24"/>
                <w:highlight w:val="none"/>
                <w:lang w:val="en-US" w:eastAsia="zh-CN" w:bidi="ar"/>
              </w:rPr>
              <w:t>:</w:t>
            </w:r>
            <w:r>
              <w:rPr>
                <w:rFonts w:hint="eastAsia" w:ascii="新宋体" w:hAnsi="新宋体" w:eastAsia="新宋体" w:cs="新宋体"/>
                <w:color w:val="auto"/>
                <w:kern w:val="0"/>
                <w:sz w:val="24"/>
                <w:highlight w:val="none"/>
                <w:u w:val="single"/>
                <w:lang w:val="en-US" w:eastAsia="zh-CN" w:bidi="ar"/>
              </w:rPr>
              <w:t xml:space="preserve">        </w:t>
            </w:r>
            <w:r>
              <w:rPr>
                <w:rFonts w:hint="eastAsia" w:ascii="新宋体" w:hAnsi="新宋体" w:eastAsia="新宋体" w:cs="新宋体"/>
                <w:color w:val="auto"/>
                <w:kern w:val="0"/>
                <w:sz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车辆年审费下浮率(%)</w:t>
            </w:r>
          </w:p>
        </w:tc>
        <w:tc>
          <w:tcPr>
            <w:tcW w:w="4261"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报价下浮率</w:t>
            </w:r>
            <w:r>
              <w:rPr>
                <w:rFonts w:hint="eastAsia" w:ascii="新宋体" w:hAnsi="新宋体" w:eastAsia="新宋体" w:cs="新宋体"/>
                <w:color w:val="auto"/>
                <w:kern w:val="0"/>
                <w:sz w:val="24"/>
                <w:highlight w:val="none"/>
                <w:lang w:val="en-US" w:eastAsia="zh-CN" w:bidi="ar"/>
              </w:rPr>
              <w:t>:</w:t>
            </w:r>
            <w:r>
              <w:rPr>
                <w:rFonts w:hint="eastAsia" w:ascii="新宋体" w:hAnsi="新宋体" w:eastAsia="新宋体" w:cs="新宋体"/>
                <w:color w:val="auto"/>
                <w:kern w:val="0"/>
                <w:sz w:val="24"/>
                <w:highlight w:val="none"/>
                <w:u w:val="single"/>
                <w:lang w:val="en-US" w:eastAsia="zh-CN" w:bidi="ar"/>
              </w:rPr>
              <w:t xml:space="preserve">      </w:t>
            </w:r>
            <w:r>
              <w:rPr>
                <w:rFonts w:hint="eastAsia" w:ascii="新宋体" w:hAnsi="新宋体" w:eastAsia="新宋体" w:cs="新宋体"/>
                <w:color w:val="auto"/>
                <w:kern w:val="0"/>
                <w:sz w:val="24"/>
                <w:highlight w:val="none"/>
                <w:lang w:bidi="ar"/>
              </w:rPr>
              <w:t>%</w:t>
            </w:r>
          </w:p>
        </w:tc>
      </w:tr>
    </w:tbl>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填报要求：</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1．报价包含交易服务费等所有税费。</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2．维修项目工时费下浮率范围为：0%＜维修项目工时费下浮率≤100%；维修材料管理费率(%):0%＜维修材料管理费率≤100%；年审费下浮率范围为：0%＜年审费下浮率≤100%。报价费率必须为固定值（保留小数点后两位），不接受区间报价。</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法定代表人资格证明书</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致</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：广州市自来水工程有限公司</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同志为本单位法定代表人，特此证明。</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签发日期：</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年</w:t>
            </w:r>
            <w:r>
              <w:rPr>
                <w:rFonts w:hint="eastAsia" w:ascii="新宋体" w:hAnsi="新宋体" w:eastAsia="新宋体" w:cs="新宋体"/>
                <w:b/>
                <w:bCs/>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月</w:t>
            </w:r>
            <w:r>
              <w:rPr>
                <w:rFonts w:hint="eastAsia" w:ascii="新宋体" w:hAnsi="新宋体" w:eastAsia="新宋体" w:cs="新宋体"/>
                <w:b/>
                <w:bCs/>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日</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单位：</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（盖单位公章）</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附：</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代理人性别：</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，年龄：</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岁；</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身份证号码：</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，联系电话：</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统一社会信用代码</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 xml:space="preserve"> ，类型：</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经营范围：</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Cs w:val="21"/>
                <w:highlight w:val="none"/>
                <w:lang w:bidi="ar"/>
              </w:rPr>
              <w:t>说明：1.内容必须填写真实、清楚、涂改无效，不得转让、买卖。2.将此证明书提交对方作为合同附件</w:t>
            </w:r>
            <w:r>
              <w:rPr>
                <w:rFonts w:hint="eastAsia" w:ascii="新宋体" w:hAnsi="新宋体" w:eastAsia="新宋体" w:cs="新宋体"/>
                <w:b/>
                <w:bCs/>
                <w:color w:val="auto"/>
                <w:kern w:val="0"/>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法定代表人身份证复印件（盖单位公章）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tc>
      </w:tr>
    </w:tbl>
    <w:p>
      <w:pPr>
        <w:widowControl/>
        <w:spacing w:line="400" w:lineRule="exact"/>
        <w:jc w:val="left"/>
        <w:rPr>
          <w:rFonts w:ascii="新宋体" w:hAnsi="新宋体" w:eastAsia="新宋体" w:cs="新宋体"/>
          <w:color w:val="auto"/>
          <w:kern w:val="0"/>
          <w:sz w:val="24"/>
          <w:highlight w:val="none"/>
          <w:lang w:bidi="ar"/>
        </w:rPr>
      </w:pP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法定代表人授权委托书</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致</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：广州市自来水工程有限公司</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兹授权</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同志，为我方签订经济合同及办理其他事务代理人，其权限是：全权代表本公司参与</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，负责提供与签署确认一切文书资料，以及向贵方递交的任何补充承诺。</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授权单位：</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（盖单位公章）</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法定代表人：</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（签名或盖私章）</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有效期限：自签发之日起</w:t>
            </w:r>
            <w:r>
              <w:rPr>
                <w:rFonts w:hint="eastAsia" w:ascii="新宋体" w:hAnsi="新宋体" w:eastAsia="新宋体" w:cs="新宋体"/>
                <w:b/>
                <w:bCs/>
                <w:color w:val="auto"/>
                <w:kern w:val="0"/>
                <w:sz w:val="24"/>
                <w:highlight w:val="none"/>
                <w:u w:val="single"/>
                <w:lang w:bidi="ar"/>
              </w:rPr>
              <w:t>90</w:t>
            </w:r>
            <w:r>
              <w:rPr>
                <w:rFonts w:hint="eastAsia" w:ascii="新宋体" w:hAnsi="新宋体" w:eastAsia="新宋体" w:cs="新宋体"/>
                <w:color w:val="auto"/>
                <w:kern w:val="0"/>
                <w:sz w:val="24"/>
                <w:highlight w:val="none"/>
                <w:lang w:bidi="ar"/>
              </w:rPr>
              <w:t>日内</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签发日期：</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年</w:t>
            </w:r>
            <w:r>
              <w:rPr>
                <w:rFonts w:hint="eastAsia" w:ascii="新宋体" w:hAnsi="新宋体" w:eastAsia="新宋体" w:cs="新宋体"/>
                <w:b/>
                <w:bCs/>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月</w:t>
            </w:r>
            <w:r>
              <w:rPr>
                <w:rFonts w:hint="eastAsia" w:ascii="新宋体" w:hAnsi="新宋体" w:eastAsia="新宋体" w:cs="新宋体"/>
                <w:b/>
                <w:bCs/>
                <w:color w:val="auto"/>
                <w:kern w:val="0"/>
                <w:sz w:val="24"/>
                <w:highlight w:val="none"/>
                <w:u w:val="single"/>
                <w:lang w:bidi="ar"/>
              </w:rPr>
              <w:t xml:space="preserve">   </w:t>
            </w:r>
            <w:r>
              <w:rPr>
                <w:rFonts w:hint="eastAsia" w:ascii="新宋体" w:hAnsi="新宋体" w:eastAsia="新宋体" w:cs="新宋体"/>
                <w:b/>
                <w:bCs/>
                <w:color w:val="auto"/>
                <w:kern w:val="0"/>
                <w:sz w:val="24"/>
                <w:highlight w:val="none"/>
                <w:lang w:bidi="ar"/>
              </w:rPr>
              <w:t>日</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附：</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代理人性别：</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，年龄：</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岁，职务：</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身份证号码：</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，联系电话：</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统一社会信用代码</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 xml:space="preserve"> ，类型：</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经营范围：</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left"/>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Cs w:val="21"/>
                <w:highlight w:val="none"/>
                <w:lang w:bidi="ar"/>
              </w:rPr>
              <w:t>说明：1.法定代表人为企业事业单位、国家机关、社会团体的主要行政负责人。2.内容必须填写真实、清楚、涂改无效，不得转让、买卖。3.将此证明书提交对方作为合同附件</w:t>
            </w:r>
            <w:r>
              <w:rPr>
                <w:rFonts w:hint="eastAsia" w:ascii="新宋体" w:hAnsi="新宋体" w:eastAsia="新宋体" w:cs="新宋体"/>
                <w:b/>
                <w:bCs/>
                <w:color w:val="auto"/>
                <w:kern w:val="0"/>
                <w:szCs w:val="21"/>
                <w:highlight w:val="none"/>
                <w:lang w:bidi="ar"/>
              </w:rPr>
              <w:t>。</w:t>
            </w:r>
            <w:r>
              <w:rPr>
                <w:rFonts w:hint="eastAsia" w:ascii="新宋体" w:hAnsi="新宋体" w:eastAsia="新宋体" w:cs="新宋体"/>
                <w:color w:val="auto"/>
                <w:kern w:val="0"/>
                <w:szCs w:val="21"/>
                <w:highlight w:val="none"/>
                <w:lang w:bidi="ar"/>
              </w:rPr>
              <w:t>4.授权权限：全权代表本公司参与上述项目，负责提供与签署确认一切文书资料，以及向贵方递交的任何补充承诺。5.有效期限：与本公司响应文件承诺的报价有效期相同，自本单位盖公章之日起生效。6.授权委托</w:t>
            </w:r>
            <w:r>
              <w:rPr>
                <w:rFonts w:hint="eastAsia" w:ascii="新宋体" w:hAnsi="新宋体" w:eastAsia="新宋体" w:cs="新宋体"/>
                <w:color w:val="auto"/>
                <w:kern w:val="0"/>
                <w:szCs w:val="21"/>
                <w:highlight w:val="none"/>
                <w:lang w:bidi="ar"/>
              </w:rPr>
              <w:t>签字代表为法定代表人，则本表不适用。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代理人身份证复印件（盖单位公章）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bookmarkStart w:id="1" w:name="_GoBack"/>
            <w:bookmarkEnd w:id="1"/>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kern w:val="0"/>
                <w:sz w:val="24"/>
                <w:highlight w:val="none"/>
                <w:lang w:bidi="ar"/>
              </w:rPr>
            </w:pPr>
          </w:p>
        </w:tc>
      </w:tr>
    </w:tbl>
    <w:p>
      <w:pPr>
        <w:widowControl/>
        <w:spacing w:line="400" w:lineRule="exact"/>
        <w:jc w:val="left"/>
        <w:rPr>
          <w:rFonts w:ascii="新宋体" w:hAnsi="新宋体" w:eastAsia="新宋体" w:cs="新宋体"/>
          <w:color w:val="auto"/>
          <w:sz w:val="24"/>
          <w:highlight w:val="none"/>
        </w:rPr>
      </w:pP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eastAsia="zh-CN" w:bidi="ar"/>
        </w:rPr>
        <w:t>报价人</w:t>
      </w:r>
      <w:r>
        <w:rPr>
          <w:rFonts w:hint="eastAsia" w:ascii="新宋体" w:hAnsi="新宋体" w:eastAsia="新宋体" w:cs="新宋体"/>
          <w:b/>
          <w:bCs/>
          <w:color w:val="auto"/>
          <w:kern w:val="0"/>
          <w:sz w:val="30"/>
          <w:szCs w:val="30"/>
          <w:highlight w:val="none"/>
          <w:lang w:bidi="ar"/>
        </w:rPr>
        <w:t>声明</w:t>
      </w: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致</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一、关于贵方采购项目</w:t>
      </w:r>
      <w:r>
        <w:rPr>
          <w:rFonts w:hint="eastAsia" w:ascii="新宋体" w:hAnsi="新宋体" w:eastAsia="新宋体" w:cs="新宋体"/>
          <w:color w:val="auto"/>
          <w:kern w:val="0"/>
          <w:sz w:val="24"/>
          <w:highlight w:val="none"/>
          <w:lang w:eastAsia="zh-CN" w:bidi="ar"/>
        </w:rPr>
        <w:t>标段</w:t>
      </w:r>
      <w:r>
        <w:rPr>
          <w:rFonts w:hint="eastAsia" w:ascii="新宋体" w:hAnsi="新宋体" w:eastAsia="新宋体" w:cs="新宋体"/>
          <w:color w:val="auto"/>
          <w:kern w:val="0"/>
          <w:sz w:val="24"/>
          <w:highlight w:val="none"/>
          <w:lang w:bidi="ar"/>
        </w:rPr>
        <w:t>，本公司愿意提交报价响应文件，所附文件和说明是准确的和真实的。</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我公司的资格满足第一部分询比邀请函中的</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条件。</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本公司保证全部申请文件和问题的回答是真实和有效的，并对所提供资料的真实性负责。</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二、本公司保证在本项目询比响应中不与其他单位围标、串标，不出让投标资格，不向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或评审委员会成员行贿。</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三、本公司不存在下列情形：</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1</w:t>
      </w:r>
      <w:r>
        <w:rPr>
          <w:rFonts w:hint="eastAsia" w:ascii="新宋体" w:hAnsi="新宋体" w:eastAsia="新宋体" w:cs="新宋体"/>
          <w:color w:val="auto"/>
          <w:kern w:val="0"/>
          <w:sz w:val="24"/>
          <w:highlight w:val="none"/>
          <w:lang w:bidi="ar"/>
        </w:rPr>
        <w:t>.与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存在利害关系且可能影响采购公正性；</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2</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采购项目</w:t>
      </w:r>
      <w:r>
        <w:rPr>
          <w:rFonts w:hint="eastAsia" w:ascii="新宋体" w:hAnsi="新宋体" w:eastAsia="新宋体" w:cs="新宋体"/>
          <w:color w:val="auto"/>
          <w:kern w:val="0"/>
          <w:sz w:val="24"/>
          <w:highlight w:val="none"/>
          <w:lang w:bidi="ar"/>
        </w:rPr>
        <w:t>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为同一个单位负责人；</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3</w:t>
      </w:r>
      <w:r>
        <w:rPr>
          <w:rFonts w:hint="eastAsia" w:ascii="新宋体" w:hAnsi="新宋体" w:eastAsia="新宋体" w:cs="新宋体"/>
          <w:color w:val="auto"/>
          <w:kern w:val="0"/>
          <w:sz w:val="24"/>
          <w:highlight w:val="none"/>
          <w:lang w:bidi="ar"/>
        </w:rPr>
        <w:t>.与本</w:t>
      </w:r>
      <w:r>
        <w:rPr>
          <w:rFonts w:hint="eastAsia" w:ascii="新宋体" w:hAnsi="新宋体" w:eastAsia="新宋体" w:cs="新宋体"/>
          <w:color w:val="auto"/>
          <w:kern w:val="0"/>
          <w:sz w:val="24"/>
          <w:highlight w:val="none"/>
          <w:lang w:eastAsia="zh-CN" w:bidi="ar"/>
        </w:rPr>
        <w:t>采购项目</w:t>
      </w:r>
      <w:r>
        <w:rPr>
          <w:rFonts w:hint="eastAsia" w:ascii="新宋体" w:hAnsi="新宋体" w:eastAsia="新宋体" w:cs="新宋体"/>
          <w:color w:val="auto"/>
          <w:kern w:val="0"/>
          <w:sz w:val="24"/>
          <w:highlight w:val="none"/>
          <w:lang w:bidi="ar"/>
        </w:rPr>
        <w:t>的其他</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存在控股、管理关系；</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4</w:t>
      </w:r>
      <w:r>
        <w:rPr>
          <w:rFonts w:hint="eastAsia" w:ascii="新宋体" w:hAnsi="新宋体" w:eastAsia="新宋体" w:cs="新宋体"/>
          <w:color w:val="auto"/>
          <w:kern w:val="0"/>
          <w:sz w:val="24"/>
          <w:highlight w:val="none"/>
          <w:lang w:bidi="ar"/>
        </w:rPr>
        <w:t>.被依法暂停或者取消投标资格；</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5</w:t>
      </w:r>
      <w:r>
        <w:rPr>
          <w:rFonts w:hint="eastAsia" w:ascii="新宋体" w:hAnsi="新宋体" w:eastAsia="新宋体" w:cs="新宋体"/>
          <w:color w:val="auto"/>
          <w:kern w:val="0"/>
          <w:sz w:val="24"/>
          <w:highlight w:val="none"/>
          <w:lang w:bidi="ar"/>
        </w:rPr>
        <w:t>.被责令停产停业、暂扣或者吊销许可证、暂扣或者吊销执照；</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6</w:t>
      </w:r>
      <w:r>
        <w:rPr>
          <w:rFonts w:hint="eastAsia" w:ascii="新宋体" w:hAnsi="新宋体" w:eastAsia="新宋体" w:cs="新宋体"/>
          <w:color w:val="auto"/>
          <w:kern w:val="0"/>
          <w:sz w:val="24"/>
          <w:highlight w:val="none"/>
          <w:lang w:bidi="ar"/>
        </w:rPr>
        <w:t>.进入清算程序，或被宣告破产，或其他丧失履约能力的情形；</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7</w:t>
      </w:r>
      <w:r>
        <w:rPr>
          <w:rFonts w:hint="eastAsia" w:ascii="新宋体" w:hAnsi="新宋体" w:eastAsia="新宋体" w:cs="新宋体"/>
          <w:color w:val="auto"/>
          <w:kern w:val="0"/>
          <w:sz w:val="24"/>
          <w:highlight w:val="none"/>
          <w:lang w:bidi="ar"/>
        </w:rPr>
        <w:t>.在最近三年内发生重大质量问题；</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8</w:t>
      </w:r>
      <w:r>
        <w:rPr>
          <w:rFonts w:hint="eastAsia" w:ascii="新宋体" w:hAnsi="新宋体" w:eastAsia="新宋体" w:cs="新宋体"/>
          <w:color w:val="auto"/>
          <w:kern w:val="0"/>
          <w:sz w:val="24"/>
          <w:highlight w:val="none"/>
          <w:lang w:bidi="ar"/>
        </w:rPr>
        <w:t>.被工商行政管理机关在全国企业信用信息公示系统中列入严重违法失信企业名单；</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val="en-US" w:eastAsia="zh-CN" w:bidi="ar"/>
        </w:rPr>
        <w:t>9</w:t>
      </w:r>
      <w:r>
        <w:rPr>
          <w:rFonts w:hint="eastAsia" w:ascii="新宋体" w:hAnsi="新宋体" w:eastAsia="新宋体" w:cs="新宋体"/>
          <w:color w:val="auto"/>
          <w:kern w:val="0"/>
          <w:sz w:val="24"/>
          <w:highlight w:val="none"/>
          <w:lang w:bidi="ar"/>
        </w:rPr>
        <w:t>.被纳入失信联合惩戒名单（具体名单以递交响应文件截止时间“信用广州”公布的“失信黑名单”为准）；</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w:t>
      </w:r>
      <w:r>
        <w:rPr>
          <w:rFonts w:hint="eastAsia" w:ascii="新宋体" w:hAnsi="新宋体" w:eastAsia="新宋体" w:cs="新宋体"/>
          <w:color w:val="auto"/>
          <w:kern w:val="0"/>
          <w:sz w:val="24"/>
          <w:highlight w:val="none"/>
          <w:lang w:val="en-US" w:eastAsia="zh-CN" w:bidi="ar"/>
        </w:rPr>
        <w:t>0</w:t>
      </w:r>
      <w:r>
        <w:rPr>
          <w:rFonts w:hint="eastAsia" w:ascii="新宋体" w:hAnsi="新宋体" w:eastAsia="新宋体" w:cs="新宋体"/>
          <w:color w:val="auto"/>
          <w:kern w:val="0"/>
          <w:sz w:val="24"/>
          <w:highlight w:val="none"/>
          <w:lang w:bidi="ar"/>
        </w:rPr>
        <w:t>.法律法规规定的其他情形。</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四、与本公司单位负责人为同一人或者与本公司存在控股、管理关系的其他单位包括：。（注：本条由</w:t>
      </w: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如实填写，如有，应列出全部满足本项目公告资质要求的相关单位的名称；如无，则填写“无”。）</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本公司违反上述保证，或本声明陈述与事实不符，经查实，本公司愿意接受公开通报，承担由此带来的法律后果。</w:t>
      </w: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特此声明</w:t>
      </w: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（此页无正文）</w:t>
      </w:r>
    </w:p>
    <w:p>
      <w:pPr>
        <w:widowControl/>
        <w:spacing w:line="400" w:lineRule="exact"/>
        <w:ind w:left="4200" w:leftChars="20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声明企业(盖公章)：</w:t>
      </w:r>
    </w:p>
    <w:p>
      <w:pPr>
        <w:widowControl/>
        <w:spacing w:line="400" w:lineRule="exact"/>
        <w:ind w:left="4200" w:leftChars="20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法定代表人（签字）：</w:t>
      </w:r>
    </w:p>
    <w:p>
      <w:pPr>
        <w:widowControl/>
        <w:spacing w:line="400" w:lineRule="exact"/>
        <w:ind w:left="4200" w:leftChars="20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日期：      年   月   日</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报价意向承诺及声明函</w:t>
      </w:r>
    </w:p>
    <w:p>
      <w:pPr>
        <w:widowControl/>
        <w:spacing w:line="400" w:lineRule="exact"/>
        <w:jc w:val="left"/>
        <w:rPr>
          <w:rFonts w:ascii="新宋体" w:hAnsi="新宋体" w:eastAsia="新宋体" w:cs="新宋体"/>
          <w:color w:val="auto"/>
          <w:kern w:val="0"/>
          <w:sz w:val="24"/>
          <w:highlight w:val="none"/>
          <w:lang w:bidi="ar"/>
        </w:rPr>
      </w:pPr>
    </w:p>
    <w:p>
      <w:pPr>
        <w:widowControl/>
        <w:spacing w:line="400" w:lineRule="exact"/>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致</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：广州市自来水工程有限公司</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根据</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发出的</w:t>
      </w:r>
      <w:r>
        <w:rPr>
          <w:rFonts w:hint="eastAsia" w:ascii="新宋体" w:hAnsi="新宋体" w:eastAsia="新宋体" w:cs="新宋体"/>
          <w:b/>
          <w:bCs/>
          <w:color w:val="auto"/>
          <w:kern w:val="0"/>
          <w:sz w:val="24"/>
          <w:highlight w:val="none"/>
          <w:lang w:bidi="ar"/>
        </w:rPr>
        <w:t>广州市自来水工程有限公司</w:t>
      </w:r>
      <w:r>
        <w:rPr>
          <w:rFonts w:hint="eastAsia" w:ascii="新宋体" w:hAnsi="新宋体" w:eastAsia="新宋体" w:cs="新宋体"/>
          <w:b/>
          <w:bCs/>
          <w:color w:val="auto"/>
          <w:kern w:val="0"/>
          <w:sz w:val="24"/>
          <w:highlight w:val="none"/>
          <w:lang w:eastAsia="zh-CN" w:bidi="ar"/>
        </w:rPr>
        <w:t>2023～2025</w:t>
      </w:r>
      <w:r>
        <w:rPr>
          <w:rFonts w:hint="eastAsia" w:ascii="新宋体" w:hAnsi="新宋体" w:eastAsia="新宋体" w:cs="新宋体"/>
          <w:b/>
          <w:bCs/>
          <w:color w:val="auto"/>
          <w:kern w:val="0"/>
          <w:sz w:val="24"/>
          <w:highlight w:val="none"/>
          <w:lang w:bidi="ar"/>
        </w:rPr>
        <w:t>年度车辆维修保养服务采购项目</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，我方已详细审查了全部内容，我方承诺在询比响应文件递交时拥有的资质、证照有效并可以满足本次询比采购文件所有内容，对询比内容无异议。</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现我方承诺：愿以本响应文件《报价表》中的报价，承包本次采购内容所包含的所有工作，并承担任何质量缺陷责任。</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我方保证将按照本项目</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第二部分项目内容及相关要求完成本项目。</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我方同意承包意向在</w:t>
      </w:r>
      <w:r>
        <w:rPr>
          <w:rFonts w:hint="eastAsia" w:ascii="新宋体" w:hAnsi="新宋体" w:eastAsia="新宋体" w:cs="新宋体"/>
          <w:color w:val="auto"/>
          <w:kern w:val="0"/>
          <w:sz w:val="24"/>
          <w:highlight w:val="none"/>
          <w:lang w:eastAsia="zh-CN" w:bidi="ar"/>
        </w:rPr>
        <w:t>采购文件</w:t>
      </w:r>
      <w:r>
        <w:rPr>
          <w:rFonts w:hint="eastAsia" w:ascii="新宋体" w:hAnsi="新宋体" w:eastAsia="新宋体" w:cs="新宋体"/>
          <w:color w:val="auto"/>
          <w:kern w:val="0"/>
          <w:sz w:val="24"/>
          <w:highlight w:val="none"/>
          <w:lang w:bidi="ar"/>
        </w:rPr>
        <w:t>规定的报价有效期</w:t>
      </w:r>
      <w:r>
        <w:rPr>
          <w:rFonts w:hint="eastAsia" w:ascii="新宋体" w:hAnsi="新宋体" w:eastAsia="新宋体" w:cs="新宋体"/>
          <w:b/>
          <w:bCs/>
          <w:color w:val="auto"/>
          <w:kern w:val="0"/>
          <w:sz w:val="24"/>
          <w:highlight w:val="none"/>
          <w:lang w:bidi="ar"/>
        </w:rPr>
        <w:t>90</w:t>
      </w:r>
      <w:r>
        <w:rPr>
          <w:rFonts w:hint="eastAsia" w:ascii="新宋体" w:hAnsi="新宋体" w:eastAsia="新宋体" w:cs="新宋体"/>
          <w:color w:val="auto"/>
          <w:kern w:val="0"/>
          <w:sz w:val="24"/>
          <w:highlight w:val="none"/>
          <w:lang w:bidi="ar"/>
        </w:rPr>
        <w:t>日内有效，在此期间内我方的承包意向有可能被</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接纳，获得承包资格，我方将受此约束。若</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需延长交易有效期的，我方同意延长。如果在交易有效期内撤回交易意向或放弃承包资格不与</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签订合同的，</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有权要求我方对造成的损失进行赔偿。</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如果我方获得承包资格，我方保证将在合同要求的服务期内开展工作，在规定的时间内，按照上述文件完成项目，并严格履行合同。</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如果我方获得承包资格，我方拟委派的项目负责人</w:t>
      </w:r>
      <w:r>
        <w:rPr>
          <w:rFonts w:hint="eastAsia" w:ascii="新宋体" w:hAnsi="新宋体" w:eastAsia="新宋体" w:cs="新宋体"/>
          <w:color w:val="auto"/>
          <w:kern w:val="0"/>
          <w:sz w:val="24"/>
          <w:highlight w:val="none"/>
          <w:u w:val="single"/>
          <w:lang w:bidi="ar"/>
        </w:rPr>
        <w:t xml:space="preserve">           </w:t>
      </w:r>
      <w:r>
        <w:rPr>
          <w:rFonts w:hint="eastAsia" w:ascii="新宋体" w:hAnsi="新宋体" w:eastAsia="新宋体" w:cs="新宋体"/>
          <w:color w:val="auto"/>
          <w:kern w:val="0"/>
          <w:sz w:val="24"/>
          <w:highlight w:val="none"/>
          <w:lang w:bidi="ar"/>
        </w:rPr>
        <w:t>。如未经</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同意更换项目管理架构人员，</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有权取消我公司的承包资格或单方面终止合同，由此造成的违约责任由我公司承担。</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我方就参加本项目交易工作，作出以下郑重声明：</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（1）本公司保证报价资料及其后提供的一切材料都是真实的。</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（2）本公司保证在本项目交易中不给其他单位挂靠，不出让交易资格，不向</w:t>
      </w:r>
      <w:r>
        <w:rPr>
          <w:rFonts w:hint="eastAsia" w:ascii="新宋体" w:hAnsi="新宋体" w:eastAsia="新宋体" w:cs="新宋体"/>
          <w:color w:val="auto"/>
          <w:kern w:val="0"/>
          <w:sz w:val="24"/>
          <w:highlight w:val="none"/>
          <w:lang w:eastAsia="zh-CN" w:bidi="ar"/>
        </w:rPr>
        <w:t>采购人</w:t>
      </w:r>
      <w:r>
        <w:rPr>
          <w:rFonts w:hint="eastAsia" w:ascii="新宋体" w:hAnsi="新宋体" w:eastAsia="新宋体" w:cs="新宋体"/>
          <w:color w:val="auto"/>
          <w:kern w:val="0"/>
          <w:sz w:val="24"/>
          <w:highlight w:val="none"/>
          <w:lang w:bidi="ar"/>
        </w:rPr>
        <w:t>行贿。</w:t>
      </w:r>
    </w:p>
    <w:p>
      <w:pPr>
        <w:widowControl/>
        <w:spacing w:line="400" w:lineRule="exact"/>
        <w:ind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3）本公司没有处于被责令停业的状态；没有处于被建设行政主管部门取消报价资格的处罚期内；没有处于财产被接管、冻结、破产的状态；在报名资料核对截止日期前两年内没有建设行政主管部门、水行政主管部门已书面认定的重大工程质量问题；在广州市人民检察院行贿犯罪档案查询结果中，本公司没有在提交报价文件截止时间前两年内被人民法院判决犯有行贿罪的记录。</w:t>
      </w:r>
    </w:p>
    <w:p>
      <w:pPr>
        <w:widowControl/>
        <w:spacing w:line="400" w:lineRule="exact"/>
        <w:ind w:firstLine="480" w:firstLineChars="200"/>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本公司违反上述承诺，或本声明陈述与事实不符，经查实，本公司愿意接受公开通报，承担由此带来的法律后果。</w:t>
      </w:r>
    </w:p>
    <w:p>
      <w:pPr>
        <w:widowControl/>
        <w:spacing w:line="400" w:lineRule="exact"/>
        <w:ind w:firstLine="480" w:firstLineChars="200"/>
        <w:rPr>
          <w:rFonts w:ascii="新宋体" w:hAnsi="新宋体" w:eastAsia="新宋体" w:cs="新宋体"/>
          <w:color w:val="auto"/>
          <w:kern w:val="0"/>
          <w:sz w:val="24"/>
          <w:highlight w:val="none"/>
          <w:lang w:bidi="ar"/>
        </w:rPr>
      </w:pPr>
    </w:p>
    <w:p>
      <w:pPr>
        <w:widowControl/>
        <w:spacing w:line="400" w:lineRule="exact"/>
        <w:ind w:left="3360" w:leftChars="1600"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承包意向人(盖公章)：</w:t>
      </w:r>
    </w:p>
    <w:p>
      <w:pPr>
        <w:widowControl/>
        <w:spacing w:line="400" w:lineRule="exact"/>
        <w:ind w:left="3360" w:leftChars="1600"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法定代表人（签名或盖章）：</w:t>
      </w:r>
    </w:p>
    <w:p>
      <w:pPr>
        <w:widowControl/>
        <w:spacing w:line="400" w:lineRule="exact"/>
        <w:ind w:left="3360" w:leftChars="1600" w:firstLine="480" w:firstLineChars="200"/>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日期：</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营业执照</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属地交管部门签章的《机动车维修经营备案表》</w:t>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或有效期内的原道路运输经营许可证</w:t>
      </w:r>
    </w:p>
    <w:p>
      <w:pPr>
        <w:widowControl/>
        <w:spacing w:line="400" w:lineRule="exact"/>
        <w:jc w:val="center"/>
        <w:rPr>
          <w:rFonts w:ascii="新宋体" w:hAnsi="新宋体" w:eastAsia="新宋体" w:cs="新宋体"/>
          <w:b/>
          <w:bCs/>
          <w:color w:val="auto"/>
          <w:kern w:val="0"/>
          <w:sz w:val="28"/>
          <w:szCs w:val="28"/>
          <w:highlight w:val="none"/>
          <w:lang w:bidi="ar"/>
        </w:rPr>
      </w:pPr>
    </w:p>
    <w:p>
      <w:pPr>
        <w:widowControl/>
        <w:spacing w:line="400" w:lineRule="exact"/>
        <w:jc w:val="center"/>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bidi="ar"/>
        </w:rPr>
        <w:t>具备二类或以上汽车维修资质</w:t>
      </w:r>
    </w:p>
    <w:p>
      <w:pP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br w:type="page"/>
      </w:r>
    </w:p>
    <w:p>
      <w:pPr>
        <w:ind w:firstLine="562"/>
        <w:jc w:val="center"/>
        <w:rPr>
          <w:rFonts w:asciiTheme="minorEastAsia" w:hAnsiTheme="minorEastAsia"/>
          <w:b/>
          <w:color w:val="auto"/>
          <w:sz w:val="28"/>
          <w:szCs w:val="28"/>
          <w:highlight w:val="none"/>
          <w:lang w:val="en-GB"/>
        </w:rPr>
      </w:pPr>
      <w:r>
        <w:rPr>
          <w:rFonts w:hint="eastAsia" w:asciiTheme="minorEastAsia" w:hAnsiTheme="minorEastAsia"/>
          <w:b/>
          <w:color w:val="auto"/>
          <w:sz w:val="28"/>
          <w:szCs w:val="28"/>
          <w:highlight w:val="none"/>
          <w:lang w:val="en-GB" w:eastAsia="zh-CN"/>
        </w:rPr>
        <w:t>报价人</w:t>
      </w:r>
      <w:r>
        <w:rPr>
          <w:rFonts w:hint="eastAsia" w:asciiTheme="minorEastAsia" w:hAnsiTheme="minorEastAsia"/>
          <w:b/>
          <w:color w:val="auto"/>
          <w:sz w:val="28"/>
          <w:szCs w:val="28"/>
          <w:highlight w:val="none"/>
          <w:lang w:val="en-GB"/>
        </w:rPr>
        <w:t>业绩表</w:t>
      </w:r>
    </w:p>
    <w:tbl>
      <w:tblPr>
        <w:tblStyle w:val="12"/>
        <w:tblW w:w="7972" w:type="dxa"/>
        <w:jc w:val="center"/>
        <w:tblLayout w:type="fixed"/>
        <w:tblCellMar>
          <w:top w:w="0" w:type="dxa"/>
          <w:left w:w="108" w:type="dxa"/>
          <w:bottom w:w="0" w:type="dxa"/>
          <w:right w:w="108" w:type="dxa"/>
        </w:tblCellMar>
      </w:tblPr>
      <w:tblGrid>
        <w:gridCol w:w="696"/>
        <w:gridCol w:w="1552"/>
        <w:gridCol w:w="1559"/>
        <w:gridCol w:w="1188"/>
        <w:gridCol w:w="1559"/>
        <w:gridCol w:w="1418"/>
      </w:tblGrid>
      <w:tr>
        <w:tblPrEx>
          <w:tblCellMar>
            <w:top w:w="0" w:type="dxa"/>
            <w:left w:w="108" w:type="dxa"/>
            <w:bottom w:w="0" w:type="dxa"/>
            <w:right w:w="108" w:type="dxa"/>
          </w:tblCellMar>
        </w:tblPrEx>
        <w:trPr>
          <w:trHeight w:val="882"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序号</w:t>
            </w:r>
          </w:p>
        </w:tc>
        <w:tc>
          <w:tcPr>
            <w:tcW w:w="1552"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委托方名称</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项目内容</w:t>
            </w:r>
          </w:p>
        </w:tc>
        <w:tc>
          <w:tcPr>
            <w:tcW w:w="118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合同签订时间</w:t>
            </w:r>
          </w:p>
        </w:tc>
        <w:tc>
          <w:tcPr>
            <w:tcW w:w="1559"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合同金额</w:t>
            </w:r>
          </w:p>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（万元）</w:t>
            </w:r>
          </w:p>
        </w:tc>
        <w:tc>
          <w:tcPr>
            <w:tcW w:w="1418" w:type="dxa"/>
            <w:tcBorders>
              <w:top w:val="single" w:color="auto" w:sz="4" w:space="0"/>
              <w:left w:val="nil"/>
              <w:bottom w:val="single" w:color="auto" w:sz="4" w:space="0"/>
              <w:right w:val="single" w:color="auto" w:sz="4" w:space="0"/>
            </w:tcBorders>
            <w:vAlign w:val="center"/>
          </w:tcPr>
          <w:p>
            <w:pPr>
              <w:jc w:val="center"/>
              <w:rPr>
                <w:rFonts w:asciiTheme="minorEastAsia" w:hAnsiTheme="minorEastAsia"/>
                <w:b/>
                <w:bCs/>
                <w:color w:val="auto"/>
                <w:sz w:val="24"/>
                <w:highlight w:val="none"/>
              </w:rPr>
            </w:pPr>
            <w:r>
              <w:rPr>
                <w:rFonts w:hint="eastAsia" w:asciiTheme="minorEastAsia" w:hAnsiTheme="minorEastAsia"/>
                <w:b/>
                <w:bCs/>
                <w:color w:val="auto"/>
                <w:sz w:val="24"/>
                <w:highlight w:val="none"/>
              </w:rPr>
              <w:t>附件所在页码</w:t>
            </w:r>
          </w:p>
        </w:tc>
      </w:tr>
      <w:tr>
        <w:tblPrEx>
          <w:tblCellMar>
            <w:top w:w="0" w:type="dxa"/>
            <w:left w:w="108" w:type="dxa"/>
            <w:bottom w:w="0" w:type="dxa"/>
            <w:right w:w="108" w:type="dxa"/>
          </w:tblCellMar>
        </w:tblPrEx>
        <w:trPr>
          <w:trHeight w:val="535"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1</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560"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2</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507"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3</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457"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4</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448"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5</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454"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6</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460"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7</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467"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8</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601"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9</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r>
        <w:tblPrEx>
          <w:tblCellMar>
            <w:top w:w="0" w:type="dxa"/>
            <w:left w:w="108" w:type="dxa"/>
            <w:bottom w:w="0" w:type="dxa"/>
            <w:right w:w="108" w:type="dxa"/>
          </w:tblCellMar>
        </w:tblPrEx>
        <w:trPr>
          <w:trHeight w:val="601" w:hRule="atLeast"/>
          <w:jc w:val="center"/>
        </w:trPr>
        <w:tc>
          <w:tcPr>
            <w:tcW w:w="696" w:type="dxa"/>
            <w:tcBorders>
              <w:top w:val="nil"/>
              <w:left w:val="single" w:color="auto" w:sz="4" w:space="0"/>
              <w:bottom w:val="single" w:color="auto" w:sz="4" w:space="0"/>
              <w:right w:val="single" w:color="auto" w:sz="4" w:space="0"/>
            </w:tcBorders>
            <w:vAlign w:val="center"/>
          </w:tcPr>
          <w:p>
            <w:pPr>
              <w:jc w:val="center"/>
              <w:rPr>
                <w:rFonts w:asciiTheme="minorEastAsia" w:hAnsiTheme="minorEastAsia"/>
                <w:color w:val="auto"/>
                <w:sz w:val="24"/>
                <w:highlight w:val="none"/>
              </w:rPr>
            </w:pPr>
            <w:r>
              <w:rPr>
                <w:rFonts w:asciiTheme="minorEastAsia" w:hAnsiTheme="minorEastAsia"/>
                <w:color w:val="auto"/>
                <w:sz w:val="24"/>
                <w:highlight w:val="none"/>
              </w:rPr>
              <w:t>10</w:t>
            </w:r>
          </w:p>
        </w:tc>
        <w:tc>
          <w:tcPr>
            <w:tcW w:w="1552"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18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559"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c>
          <w:tcPr>
            <w:tcW w:w="1418" w:type="dxa"/>
            <w:tcBorders>
              <w:top w:val="nil"/>
              <w:left w:val="nil"/>
              <w:bottom w:val="single" w:color="auto" w:sz="4" w:space="0"/>
              <w:right w:val="single" w:color="auto" w:sz="4" w:space="0"/>
            </w:tcBorders>
            <w:vAlign w:val="center"/>
          </w:tcPr>
          <w:p>
            <w:pPr>
              <w:jc w:val="center"/>
              <w:rPr>
                <w:rFonts w:asciiTheme="minorEastAsia" w:hAnsiTheme="minorEastAsia"/>
                <w:color w:val="auto"/>
                <w:sz w:val="24"/>
                <w:highlight w:val="none"/>
              </w:rPr>
            </w:pPr>
          </w:p>
        </w:tc>
      </w:tr>
    </w:tbl>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注：1.需提供合同关键页面作为附件证明材料，包括首页、金额及签章页面。</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应对应评分标准中的“项目经验”的标准进行填报。该项得分以上表的内容为重要参考依据。</w:t>
      </w:r>
    </w:p>
    <w:p>
      <w:pPr>
        <w:rPr>
          <w:rFonts w:ascii="新宋体" w:hAnsi="新宋体" w:eastAsia="新宋体" w:cs="新宋体"/>
          <w:b/>
          <w:bCs/>
          <w:color w:val="auto"/>
          <w:kern w:val="0"/>
          <w:sz w:val="30"/>
          <w:szCs w:val="30"/>
          <w:highlight w:val="none"/>
          <w:lang w:bidi="ar"/>
        </w:rPr>
      </w:pP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br w:type="page"/>
      </w:r>
      <w:r>
        <w:rPr>
          <w:rFonts w:hint="eastAsia" w:ascii="新宋体" w:hAnsi="新宋体" w:eastAsia="新宋体" w:cs="新宋体"/>
          <w:b/>
          <w:bCs/>
          <w:color w:val="auto"/>
          <w:kern w:val="0"/>
          <w:sz w:val="30"/>
          <w:szCs w:val="30"/>
          <w:highlight w:val="none"/>
          <w:lang w:bidi="ar"/>
        </w:rPr>
        <w:t>有效服务点信息及证明材料</w:t>
      </w:r>
    </w:p>
    <w:p>
      <w:pPr>
        <w:widowControl/>
        <w:spacing w:line="400" w:lineRule="exact"/>
        <w:jc w:val="left"/>
        <w:rPr>
          <w:rFonts w:ascii="新宋体" w:hAnsi="新宋体" w:eastAsia="新宋体" w:cs="新宋体"/>
          <w:b/>
          <w:bCs/>
          <w:color w:val="auto"/>
          <w:kern w:val="0"/>
          <w:sz w:val="24"/>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1"/>
        <w:gridCol w:w="2159"/>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2101" w:type="dxa"/>
          </w:tcPr>
          <w:p>
            <w:pPr>
              <w:widowControl/>
              <w:spacing w:line="400" w:lineRule="exact"/>
              <w:jc w:val="center"/>
              <w:rPr>
                <w:rFonts w:ascii="新宋体" w:hAnsi="新宋体" w:eastAsia="新宋体" w:cs="新宋体"/>
                <w:color w:val="auto"/>
                <w:szCs w:val="21"/>
                <w:highlight w:val="none"/>
              </w:rPr>
            </w:pPr>
            <w:r>
              <w:rPr>
                <w:rFonts w:hint="eastAsia" w:ascii="新宋体" w:hAnsi="新宋体" w:eastAsia="新宋体" w:cs="新宋体"/>
                <w:b/>
                <w:bCs/>
                <w:color w:val="auto"/>
                <w:kern w:val="0"/>
                <w:szCs w:val="21"/>
                <w:highlight w:val="none"/>
                <w:lang w:eastAsia="zh-CN" w:bidi="ar"/>
              </w:rPr>
              <w:t>报价人</w:t>
            </w:r>
            <w:r>
              <w:rPr>
                <w:rFonts w:hint="eastAsia" w:ascii="新宋体" w:hAnsi="新宋体" w:eastAsia="新宋体" w:cs="新宋体"/>
                <w:b/>
                <w:bCs/>
                <w:color w:val="auto"/>
                <w:kern w:val="0"/>
                <w:szCs w:val="21"/>
                <w:highlight w:val="none"/>
                <w:lang w:bidi="ar"/>
              </w:rPr>
              <w:t>名称</w:t>
            </w:r>
          </w:p>
          <w:p>
            <w:pPr>
              <w:widowControl/>
              <w:spacing w:line="400" w:lineRule="exact"/>
              <w:jc w:val="center"/>
              <w:rPr>
                <w:rFonts w:ascii="新宋体" w:hAnsi="新宋体" w:eastAsia="新宋体" w:cs="新宋体"/>
                <w:b/>
                <w:bCs/>
                <w:color w:val="auto"/>
                <w:kern w:val="0"/>
                <w:szCs w:val="21"/>
                <w:highlight w:val="none"/>
                <w:lang w:bidi="ar"/>
              </w:rPr>
            </w:pPr>
          </w:p>
        </w:tc>
        <w:tc>
          <w:tcPr>
            <w:tcW w:w="2159" w:type="dxa"/>
          </w:tcPr>
          <w:p>
            <w:pPr>
              <w:widowControl/>
              <w:spacing w:line="400" w:lineRule="exact"/>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bCs/>
                <w:color w:val="auto"/>
                <w:kern w:val="0"/>
                <w:szCs w:val="21"/>
                <w:highlight w:val="none"/>
                <w:lang w:bidi="ar"/>
              </w:rPr>
              <w:t>有效服务点名称</w:t>
            </w:r>
          </w:p>
        </w:tc>
        <w:tc>
          <w:tcPr>
            <w:tcW w:w="2131" w:type="dxa"/>
          </w:tcPr>
          <w:p>
            <w:pPr>
              <w:widowControl/>
              <w:spacing w:line="400" w:lineRule="exact"/>
              <w:jc w:val="center"/>
              <w:rPr>
                <w:rFonts w:ascii="新宋体" w:hAnsi="新宋体" w:eastAsia="新宋体" w:cs="新宋体"/>
                <w:color w:val="auto"/>
                <w:szCs w:val="21"/>
                <w:highlight w:val="none"/>
              </w:rPr>
            </w:pPr>
            <w:r>
              <w:rPr>
                <w:rFonts w:hint="eastAsia" w:ascii="新宋体" w:hAnsi="新宋体" w:eastAsia="新宋体" w:cs="新宋体"/>
                <w:b/>
                <w:bCs/>
                <w:color w:val="auto"/>
                <w:kern w:val="0"/>
                <w:szCs w:val="21"/>
                <w:highlight w:val="none"/>
                <w:lang w:bidi="ar"/>
              </w:rPr>
              <w:t>厂址</w:t>
            </w:r>
          </w:p>
          <w:p>
            <w:pPr>
              <w:widowControl/>
              <w:spacing w:line="400" w:lineRule="exact"/>
              <w:jc w:val="center"/>
              <w:rPr>
                <w:rFonts w:ascii="新宋体" w:hAnsi="新宋体" w:eastAsia="新宋体" w:cs="新宋体"/>
                <w:b/>
                <w:bCs/>
                <w:color w:val="auto"/>
                <w:kern w:val="0"/>
                <w:szCs w:val="21"/>
                <w:highlight w:val="none"/>
                <w:lang w:bidi="ar"/>
              </w:rPr>
            </w:pPr>
          </w:p>
        </w:tc>
        <w:tc>
          <w:tcPr>
            <w:tcW w:w="2131" w:type="dxa"/>
          </w:tcPr>
          <w:p>
            <w:pPr>
              <w:widowControl/>
              <w:adjustRightInd w:val="0"/>
              <w:snapToGrid w:val="0"/>
              <w:spacing w:line="240" w:lineRule="atLeast"/>
              <w:jc w:val="center"/>
              <w:rPr>
                <w:rFonts w:ascii="新宋体" w:hAnsi="新宋体" w:eastAsia="新宋体" w:cs="新宋体"/>
                <w:b/>
                <w:bCs/>
                <w:color w:val="auto"/>
                <w:kern w:val="0"/>
                <w:szCs w:val="21"/>
                <w:highlight w:val="none"/>
                <w:lang w:bidi="ar"/>
              </w:rPr>
            </w:pPr>
            <w:r>
              <w:rPr>
                <w:rFonts w:hint="eastAsia" w:ascii="新宋体" w:hAnsi="新宋体" w:eastAsia="新宋体" w:cs="新宋体"/>
                <w:b/>
                <w:bCs/>
                <w:color w:val="auto"/>
                <w:kern w:val="0"/>
                <w:szCs w:val="21"/>
                <w:highlight w:val="none"/>
                <w:lang w:bidi="ar"/>
              </w:rPr>
              <w:t>到基准地址的最短驾车距离（公里）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2101" w:type="dxa"/>
          </w:tcPr>
          <w:p>
            <w:pPr>
              <w:widowControl/>
              <w:spacing w:line="400" w:lineRule="exact"/>
              <w:jc w:val="left"/>
              <w:rPr>
                <w:rFonts w:ascii="新宋体" w:hAnsi="新宋体" w:eastAsia="新宋体" w:cs="新宋体"/>
                <w:b/>
                <w:bCs/>
                <w:color w:val="auto"/>
                <w:kern w:val="0"/>
                <w:sz w:val="24"/>
                <w:highlight w:val="none"/>
                <w:lang w:bidi="ar"/>
              </w:rPr>
            </w:pPr>
          </w:p>
        </w:tc>
        <w:tc>
          <w:tcPr>
            <w:tcW w:w="2159" w:type="dxa"/>
          </w:tcPr>
          <w:p>
            <w:pPr>
              <w:widowControl/>
              <w:spacing w:line="400" w:lineRule="exact"/>
              <w:jc w:val="left"/>
              <w:rPr>
                <w:rFonts w:ascii="新宋体" w:hAnsi="新宋体" w:eastAsia="新宋体" w:cs="新宋体"/>
                <w:b/>
                <w:bCs/>
                <w:color w:val="auto"/>
                <w:kern w:val="0"/>
                <w:sz w:val="24"/>
                <w:highlight w:val="none"/>
                <w:lang w:bidi="ar"/>
              </w:rPr>
            </w:pPr>
          </w:p>
        </w:tc>
        <w:tc>
          <w:tcPr>
            <w:tcW w:w="2131" w:type="dxa"/>
          </w:tcPr>
          <w:p>
            <w:pPr>
              <w:widowControl/>
              <w:spacing w:line="400" w:lineRule="exact"/>
              <w:jc w:val="left"/>
              <w:rPr>
                <w:rFonts w:ascii="新宋体" w:hAnsi="新宋体" w:eastAsia="新宋体" w:cs="新宋体"/>
                <w:b/>
                <w:bCs/>
                <w:color w:val="auto"/>
                <w:kern w:val="0"/>
                <w:sz w:val="24"/>
                <w:highlight w:val="none"/>
                <w:lang w:bidi="ar"/>
              </w:rPr>
            </w:pPr>
          </w:p>
        </w:tc>
        <w:tc>
          <w:tcPr>
            <w:tcW w:w="2131" w:type="dxa"/>
          </w:tcPr>
          <w:p>
            <w:pPr>
              <w:widowControl/>
              <w:spacing w:line="400" w:lineRule="exact"/>
              <w:jc w:val="left"/>
              <w:rPr>
                <w:rFonts w:ascii="新宋体" w:hAnsi="新宋体" w:eastAsia="新宋体" w:cs="新宋体"/>
                <w:b/>
                <w:bCs/>
                <w:color w:val="auto"/>
                <w:kern w:val="0"/>
                <w:sz w:val="24"/>
                <w:highlight w:val="none"/>
                <w:lang w:bidi="ar"/>
              </w:rPr>
            </w:pPr>
          </w:p>
        </w:tc>
      </w:tr>
    </w:tbl>
    <w:p>
      <w:pPr>
        <w:widowControl/>
        <w:spacing w:line="400" w:lineRule="exact"/>
        <w:jc w:val="left"/>
        <w:rPr>
          <w:rFonts w:ascii="新宋体" w:hAnsi="新宋体" w:eastAsia="新宋体" w:cs="新宋体"/>
          <w:b/>
          <w:bCs/>
          <w:color w:val="auto"/>
          <w:kern w:val="0"/>
          <w:sz w:val="24"/>
          <w:highlight w:val="none"/>
          <w:lang w:bidi="ar"/>
        </w:rPr>
      </w:pPr>
    </w:p>
    <w:p>
      <w:pPr>
        <w:widowControl/>
        <w:spacing w:line="400" w:lineRule="exact"/>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填报要求：</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1、请</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填写与采购基准地址有效服务点信息，并提供百度或高德地图截图佐证。</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2、</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须提供有效期内的服务点产权证明或租赁合同。</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3、请</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严格按照要求提交相关证明材料，否则有可能影响评审结果。</w:t>
      </w:r>
    </w:p>
    <w:p>
      <w:pPr>
        <w:rPr>
          <w:rFonts w:ascii="新宋体" w:hAnsi="新宋体" w:eastAsia="新宋体" w:cs="新宋体"/>
          <w:b/>
          <w:bCs/>
          <w:color w:val="auto"/>
          <w:kern w:val="0"/>
          <w:sz w:val="30"/>
          <w:szCs w:val="30"/>
          <w:highlight w:val="none"/>
          <w:lang w:bidi="ar"/>
        </w:rPr>
      </w:pPr>
    </w:p>
    <w:p>
      <w:pP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br w:type="page"/>
      </w:r>
    </w:p>
    <w:p>
      <w:pPr>
        <w:spacing w:line="460" w:lineRule="exact"/>
        <w:jc w:val="cente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证书一览表</w:t>
      </w:r>
    </w:p>
    <w:tbl>
      <w:tblPr>
        <w:tblStyle w:val="12"/>
        <w:tblW w:w="7864"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0"/>
        <w:gridCol w:w="2682"/>
        <w:gridCol w:w="259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590" w:type="dxa"/>
            <w:tcBorders>
              <w:top w:val="single" w:color="auto" w:sz="4" w:space="0"/>
              <w:left w:val="single" w:color="auto" w:sz="4" w:space="0"/>
              <w:bottom w:val="single" w:color="auto" w:sz="4" w:space="0"/>
            </w:tcBorders>
          </w:tcPr>
          <w:p>
            <w:pPr>
              <w:spacing w:line="460" w:lineRule="exact"/>
              <w:jc w:val="center"/>
              <w:rPr>
                <w:rFonts w:asciiTheme="minorEastAsia" w:hAnsiTheme="minorEastAsia"/>
                <w:bCs/>
                <w:color w:val="auto"/>
                <w:sz w:val="24"/>
                <w:highlight w:val="none"/>
              </w:rPr>
            </w:pPr>
            <w:r>
              <w:rPr>
                <w:rFonts w:hint="eastAsia" w:asciiTheme="minorEastAsia" w:hAnsiTheme="minorEastAsia"/>
                <w:bCs/>
                <w:color w:val="auto"/>
                <w:sz w:val="24"/>
                <w:highlight w:val="none"/>
              </w:rPr>
              <w:t>证书名称</w:t>
            </w:r>
          </w:p>
        </w:tc>
        <w:tc>
          <w:tcPr>
            <w:tcW w:w="2682" w:type="dxa"/>
            <w:tcBorders>
              <w:top w:val="single" w:color="auto" w:sz="4" w:space="0"/>
              <w:bottom w:val="single" w:color="auto" w:sz="4" w:space="0"/>
            </w:tcBorders>
          </w:tcPr>
          <w:p>
            <w:pPr>
              <w:spacing w:line="460" w:lineRule="exact"/>
              <w:jc w:val="center"/>
              <w:rPr>
                <w:rFonts w:asciiTheme="minorEastAsia" w:hAnsiTheme="minorEastAsia"/>
                <w:bCs/>
                <w:color w:val="auto"/>
                <w:sz w:val="24"/>
                <w:highlight w:val="none"/>
              </w:rPr>
            </w:pPr>
            <w:r>
              <w:rPr>
                <w:rFonts w:hint="eastAsia" w:asciiTheme="minorEastAsia" w:hAnsiTheme="minorEastAsia"/>
                <w:bCs/>
                <w:color w:val="auto"/>
                <w:sz w:val="24"/>
                <w:highlight w:val="none"/>
              </w:rPr>
              <w:t>发证单位</w:t>
            </w:r>
          </w:p>
        </w:tc>
        <w:tc>
          <w:tcPr>
            <w:tcW w:w="2592" w:type="dxa"/>
            <w:tcBorders>
              <w:top w:val="single" w:color="auto" w:sz="4" w:space="0"/>
              <w:bottom w:val="single" w:color="auto" w:sz="4" w:space="0"/>
              <w:right w:val="single" w:color="auto" w:sz="4" w:space="0"/>
            </w:tcBorders>
          </w:tcPr>
          <w:p>
            <w:pPr>
              <w:spacing w:line="460" w:lineRule="exact"/>
              <w:jc w:val="center"/>
              <w:rPr>
                <w:rFonts w:asciiTheme="minorEastAsia" w:hAnsiTheme="minorEastAsia"/>
                <w:bCs/>
                <w:color w:val="auto"/>
                <w:sz w:val="24"/>
                <w:highlight w:val="none"/>
              </w:rPr>
            </w:pPr>
            <w:r>
              <w:rPr>
                <w:rFonts w:hint="eastAsia" w:asciiTheme="minorEastAsia" w:hAnsiTheme="minorEastAsia"/>
                <w:bCs/>
                <w:color w:val="auto"/>
                <w:sz w:val="24"/>
                <w:highlight w:val="none"/>
              </w:rPr>
              <w:t>证书有效期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top w:val="single" w:color="auto" w:sz="4" w:space="0"/>
              <w:left w:val="single" w:color="auto" w:sz="4" w:space="0"/>
            </w:tcBorders>
          </w:tcPr>
          <w:p>
            <w:pPr>
              <w:spacing w:line="460" w:lineRule="exact"/>
              <w:jc w:val="center"/>
              <w:rPr>
                <w:rFonts w:asciiTheme="minorEastAsia" w:hAnsiTheme="minorEastAsia"/>
                <w:bCs/>
                <w:color w:val="auto"/>
                <w:sz w:val="24"/>
                <w:highlight w:val="none"/>
              </w:rPr>
            </w:pPr>
          </w:p>
        </w:tc>
        <w:tc>
          <w:tcPr>
            <w:tcW w:w="2682" w:type="dxa"/>
            <w:tcBorders>
              <w:top w:val="single" w:color="auto" w:sz="4" w:space="0"/>
            </w:tcBorders>
          </w:tcPr>
          <w:p>
            <w:pPr>
              <w:spacing w:line="460" w:lineRule="exact"/>
              <w:jc w:val="center"/>
              <w:rPr>
                <w:rFonts w:asciiTheme="minorEastAsia" w:hAnsiTheme="minorEastAsia"/>
                <w:bCs/>
                <w:color w:val="auto"/>
                <w:sz w:val="24"/>
                <w:highlight w:val="none"/>
              </w:rPr>
            </w:pPr>
          </w:p>
        </w:tc>
        <w:tc>
          <w:tcPr>
            <w:tcW w:w="2592" w:type="dxa"/>
            <w:tcBorders>
              <w:top w:val="single" w:color="auto" w:sz="4" w:space="0"/>
              <w:right w:val="single" w:color="auto" w:sz="4" w:space="0"/>
            </w:tcBorders>
          </w:tcPr>
          <w:p>
            <w:pPr>
              <w:spacing w:line="460" w:lineRule="exact"/>
              <w:jc w:val="center"/>
              <w:rPr>
                <w:rFonts w:asciiTheme="minorEastAsia" w:hAnsiTheme="minorEastAsia"/>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left w:val="single" w:color="auto" w:sz="4" w:space="0"/>
            </w:tcBorders>
          </w:tcPr>
          <w:p>
            <w:pPr>
              <w:spacing w:line="460" w:lineRule="exact"/>
              <w:jc w:val="center"/>
              <w:rPr>
                <w:rFonts w:asciiTheme="minorEastAsia" w:hAnsiTheme="minorEastAsia"/>
                <w:bCs/>
                <w:color w:val="auto"/>
                <w:sz w:val="24"/>
                <w:highlight w:val="none"/>
              </w:rPr>
            </w:pPr>
          </w:p>
        </w:tc>
        <w:tc>
          <w:tcPr>
            <w:tcW w:w="2682" w:type="dxa"/>
          </w:tcPr>
          <w:p>
            <w:pPr>
              <w:spacing w:line="460" w:lineRule="exact"/>
              <w:jc w:val="center"/>
              <w:rPr>
                <w:rFonts w:asciiTheme="minorEastAsia" w:hAnsiTheme="minorEastAsia"/>
                <w:bCs/>
                <w:color w:val="auto"/>
                <w:sz w:val="24"/>
                <w:highlight w:val="none"/>
              </w:rPr>
            </w:pPr>
          </w:p>
        </w:tc>
        <w:tc>
          <w:tcPr>
            <w:tcW w:w="2592" w:type="dxa"/>
            <w:tcBorders>
              <w:right w:val="single" w:color="auto" w:sz="4" w:space="0"/>
            </w:tcBorders>
          </w:tcPr>
          <w:p>
            <w:pPr>
              <w:spacing w:line="460" w:lineRule="exact"/>
              <w:jc w:val="center"/>
              <w:rPr>
                <w:rFonts w:asciiTheme="minorEastAsia" w:hAnsiTheme="minorEastAsia"/>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left w:val="single" w:color="auto" w:sz="4" w:space="0"/>
            </w:tcBorders>
          </w:tcPr>
          <w:p>
            <w:pPr>
              <w:spacing w:line="460" w:lineRule="exact"/>
              <w:jc w:val="center"/>
              <w:rPr>
                <w:rFonts w:asciiTheme="minorEastAsia" w:hAnsiTheme="minorEastAsia"/>
                <w:bCs/>
                <w:color w:val="auto"/>
                <w:sz w:val="24"/>
                <w:highlight w:val="none"/>
              </w:rPr>
            </w:pPr>
          </w:p>
        </w:tc>
        <w:tc>
          <w:tcPr>
            <w:tcW w:w="2682" w:type="dxa"/>
          </w:tcPr>
          <w:p>
            <w:pPr>
              <w:spacing w:line="460" w:lineRule="exact"/>
              <w:jc w:val="center"/>
              <w:rPr>
                <w:rFonts w:asciiTheme="minorEastAsia" w:hAnsiTheme="minorEastAsia"/>
                <w:bCs/>
                <w:color w:val="auto"/>
                <w:sz w:val="24"/>
                <w:highlight w:val="none"/>
              </w:rPr>
            </w:pPr>
          </w:p>
        </w:tc>
        <w:tc>
          <w:tcPr>
            <w:tcW w:w="2592" w:type="dxa"/>
            <w:tcBorders>
              <w:right w:val="single" w:color="auto" w:sz="4" w:space="0"/>
            </w:tcBorders>
          </w:tcPr>
          <w:p>
            <w:pPr>
              <w:spacing w:line="460" w:lineRule="exact"/>
              <w:jc w:val="center"/>
              <w:rPr>
                <w:rFonts w:asciiTheme="minorEastAsia" w:hAnsiTheme="minorEastAsia"/>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left w:val="single" w:color="auto" w:sz="4" w:space="0"/>
            </w:tcBorders>
          </w:tcPr>
          <w:p>
            <w:pPr>
              <w:spacing w:line="460" w:lineRule="exact"/>
              <w:jc w:val="center"/>
              <w:rPr>
                <w:rFonts w:asciiTheme="minorEastAsia" w:hAnsiTheme="minorEastAsia"/>
                <w:bCs/>
                <w:color w:val="auto"/>
                <w:sz w:val="24"/>
                <w:highlight w:val="none"/>
              </w:rPr>
            </w:pPr>
          </w:p>
        </w:tc>
        <w:tc>
          <w:tcPr>
            <w:tcW w:w="2682" w:type="dxa"/>
          </w:tcPr>
          <w:p>
            <w:pPr>
              <w:spacing w:line="460" w:lineRule="exact"/>
              <w:jc w:val="center"/>
              <w:rPr>
                <w:rFonts w:asciiTheme="minorEastAsia" w:hAnsiTheme="minorEastAsia"/>
                <w:bCs/>
                <w:color w:val="auto"/>
                <w:sz w:val="24"/>
                <w:highlight w:val="none"/>
              </w:rPr>
            </w:pPr>
          </w:p>
        </w:tc>
        <w:tc>
          <w:tcPr>
            <w:tcW w:w="2592" w:type="dxa"/>
            <w:tcBorders>
              <w:right w:val="single" w:color="auto" w:sz="4" w:space="0"/>
            </w:tcBorders>
          </w:tcPr>
          <w:p>
            <w:pPr>
              <w:spacing w:line="460" w:lineRule="exact"/>
              <w:jc w:val="center"/>
              <w:rPr>
                <w:rFonts w:asciiTheme="minorEastAsia" w:hAnsiTheme="minorEastAsia"/>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left w:val="single" w:color="auto" w:sz="4" w:space="0"/>
            </w:tcBorders>
          </w:tcPr>
          <w:p>
            <w:pPr>
              <w:spacing w:line="460" w:lineRule="exact"/>
              <w:jc w:val="center"/>
              <w:rPr>
                <w:rFonts w:asciiTheme="minorEastAsia" w:hAnsiTheme="minorEastAsia"/>
                <w:bCs/>
                <w:color w:val="auto"/>
                <w:sz w:val="24"/>
                <w:highlight w:val="none"/>
              </w:rPr>
            </w:pPr>
          </w:p>
        </w:tc>
        <w:tc>
          <w:tcPr>
            <w:tcW w:w="2682" w:type="dxa"/>
          </w:tcPr>
          <w:p>
            <w:pPr>
              <w:spacing w:line="460" w:lineRule="exact"/>
              <w:jc w:val="center"/>
              <w:rPr>
                <w:rFonts w:asciiTheme="minorEastAsia" w:hAnsiTheme="minorEastAsia"/>
                <w:bCs/>
                <w:color w:val="auto"/>
                <w:sz w:val="24"/>
                <w:highlight w:val="none"/>
              </w:rPr>
            </w:pPr>
          </w:p>
        </w:tc>
        <w:tc>
          <w:tcPr>
            <w:tcW w:w="2592" w:type="dxa"/>
            <w:tcBorders>
              <w:right w:val="single" w:color="auto" w:sz="4" w:space="0"/>
            </w:tcBorders>
          </w:tcPr>
          <w:p>
            <w:pPr>
              <w:spacing w:line="460" w:lineRule="exact"/>
              <w:jc w:val="center"/>
              <w:rPr>
                <w:rFonts w:asciiTheme="minorEastAsia" w:hAnsiTheme="minorEastAsia"/>
                <w:bCs/>
                <w:color w:val="auto"/>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0" w:type="dxa"/>
            <w:tcBorders>
              <w:left w:val="single" w:color="auto" w:sz="4" w:space="0"/>
              <w:bottom w:val="single" w:color="auto" w:sz="4" w:space="0"/>
            </w:tcBorders>
          </w:tcPr>
          <w:p>
            <w:pPr>
              <w:spacing w:line="460" w:lineRule="exact"/>
              <w:jc w:val="center"/>
              <w:rPr>
                <w:rFonts w:asciiTheme="minorEastAsia" w:hAnsiTheme="minorEastAsia"/>
                <w:bCs/>
                <w:color w:val="auto"/>
                <w:sz w:val="24"/>
                <w:highlight w:val="none"/>
              </w:rPr>
            </w:pPr>
          </w:p>
        </w:tc>
        <w:tc>
          <w:tcPr>
            <w:tcW w:w="2682" w:type="dxa"/>
            <w:tcBorders>
              <w:bottom w:val="single" w:color="auto" w:sz="4" w:space="0"/>
            </w:tcBorders>
          </w:tcPr>
          <w:p>
            <w:pPr>
              <w:spacing w:line="460" w:lineRule="exact"/>
              <w:jc w:val="center"/>
              <w:rPr>
                <w:rFonts w:asciiTheme="minorEastAsia" w:hAnsiTheme="minorEastAsia"/>
                <w:bCs/>
                <w:color w:val="auto"/>
                <w:sz w:val="24"/>
                <w:highlight w:val="none"/>
              </w:rPr>
            </w:pPr>
          </w:p>
        </w:tc>
        <w:tc>
          <w:tcPr>
            <w:tcW w:w="2592" w:type="dxa"/>
            <w:tcBorders>
              <w:bottom w:val="single" w:color="auto" w:sz="4" w:space="0"/>
              <w:right w:val="single" w:color="auto" w:sz="4" w:space="0"/>
            </w:tcBorders>
          </w:tcPr>
          <w:p>
            <w:pPr>
              <w:spacing w:line="460" w:lineRule="exact"/>
              <w:jc w:val="center"/>
              <w:rPr>
                <w:rFonts w:asciiTheme="minorEastAsia" w:hAnsiTheme="minorEastAsia"/>
                <w:bCs/>
                <w:color w:val="auto"/>
                <w:sz w:val="24"/>
                <w:highlight w:val="none"/>
              </w:rPr>
            </w:pPr>
          </w:p>
        </w:tc>
      </w:tr>
    </w:tbl>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填报要求：</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1.填写</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获得认证证书。（或根据评分项对应内容的要求填写）</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2.请提供本表所列的证书资料。</w:t>
      </w:r>
    </w:p>
    <w:p>
      <w:pPr>
        <w:rPr>
          <w:rFonts w:ascii="新宋体" w:hAnsi="新宋体" w:eastAsia="新宋体" w:cs="新宋体"/>
          <w:b/>
          <w:bCs/>
          <w:color w:val="auto"/>
          <w:kern w:val="0"/>
          <w:sz w:val="30"/>
          <w:szCs w:val="30"/>
          <w:highlight w:val="none"/>
          <w:lang w:bidi="ar"/>
        </w:rPr>
      </w:pPr>
    </w:p>
    <w:p>
      <w:pPr>
        <w:spacing w:line="560" w:lineRule="exact"/>
        <w:jc w:val="center"/>
        <w:rPr>
          <w:rFonts w:asciiTheme="minorEastAsia" w:hAnsiTheme="minorEastAsia"/>
          <w:b/>
          <w:color w:val="auto"/>
          <w:sz w:val="28"/>
          <w:szCs w:val="28"/>
          <w:highlight w:val="none"/>
        </w:rPr>
      </w:pPr>
      <w:r>
        <w:rPr>
          <w:rFonts w:hint="eastAsia" w:ascii="新宋体" w:hAnsi="新宋体" w:eastAsia="新宋体" w:cs="新宋体"/>
          <w:b/>
          <w:bCs/>
          <w:color w:val="auto"/>
          <w:kern w:val="0"/>
          <w:sz w:val="30"/>
          <w:szCs w:val="30"/>
          <w:highlight w:val="none"/>
          <w:lang w:bidi="ar"/>
        </w:rPr>
        <w:br w:type="page"/>
      </w:r>
      <w:r>
        <w:rPr>
          <w:rFonts w:hint="eastAsia" w:asciiTheme="minorEastAsia" w:hAnsiTheme="minorEastAsia"/>
          <w:b/>
          <w:color w:val="auto"/>
          <w:sz w:val="28"/>
          <w:szCs w:val="28"/>
          <w:highlight w:val="none"/>
        </w:rPr>
        <w:t>拟派本项目技术服务人员情况表</w:t>
      </w:r>
    </w:p>
    <w:p>
      <w:pPr>
        <w:spacing w:line="560" w:lineRule="exact"/>
        <w:jc w:val="center"/>
        <w:rPr>
          <w:rFonts w:asciiTheme="minorEastAsia" w:hAnsiTheme="minorEastAsia"/>
          <w:b/>
          <w:color w:val="auto"/>
          <w:sz w:val="28"/>
          <w:szCs w:val="28"/>
          <w:highlight w:val="none"/>
        </w:rPr>
      </w:pPr>
    </w:p>
    <w:tbl>
      <w:tblPr>
        <w:tblStyle w:val="12"/>
        <w:tblW w:w="49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643"/>
        <w:gridCol w:w="755"/>
        <w:gridCol w:w="889"/>
        <w:gridCol w:w="916"/>
        <w:gridCol w:w="1905"/>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58"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序号</w:t>
            </w:r>
          </w:p>
        </w:tc>
        <w:tc>
          <w:tcPr>
            <w:tcW w:w="982"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姓名</w:t>
            </w:r>
          </w:p>
        </w:tc>
        <w:tc>
          <w:tcPr>
            <w:tcW w:w="451"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性别</w:t>
            </w:r>
          </w:p>
        </w:tc>
        <w:tc>
          <w:tcPr>
            <w:tcW w:w="531"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年龄</w:t>
            </w:r>
          </w:p>
        </w:tc>
        <w:tc>
          <w:tcPr>
            <w:tcW w:w="547"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学历</w:t>
            </w:r>
          </w:p>
        </w:tc>
        <w:tc>
          <w:tcPr>
            <w:tcW w:w="1138"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资格等级</w:t>
            </w:r>
          </w:p>
        </w:tc>
        <w:tc>
          <w:tcPr>
            <w:tcW w:w="889"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58"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982"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451" w:type="pct"/>
            <w:vAlign w:val="center"/>
          </w:tcPr>
          <w:p>
            <w:pPr>
              <w:spacing w:line="560" w:lineRule="exact"/>
              <w:rPr>
                <w:rFonts w:asciiTheme="minorEastAsia" w:hAnsiTheme="minorEastAsia"/>
                <w:color w:val="auto"/>
                <w:sz w:val="24"/>
                <w:highlight w:val="none"/>
              </w:rPr>
            </w:pPr>
          </w:p>
        </w:tc>
        <w:tc>
          <w:tcPr>
            <w:tcW w:w="531" w:type="pct"/>
            <w:vAlign w:val="center"/>
          </w:tcPr>
          <w:p>
            <w:pPr>
              <w:spacing w:line="560" w:lineRule="exact"/>
              <w:rPr>
                <w:rFonts w:asciiTheme="minorEastAsia" w:hAnsiTheme="minorEastAsia"/>
                <w:color w:val="auto"/>
                <w:sz w:val="24"/>
                <w:highlight w:val="none"/>
              </w:rPr>
            </w:pPr>
          </w:p>
        </w:tc>
        <w:tc>
          <w:tcPr>
            <w:tcW w:w="547" w:type="pct"/>
            <w:vAlign w:val="center"/>
          </w:tcPr>
          <w:p>
            <w:pPr>
              <w:spacing w:line="560" w:lineRule="exact"/>
              <w:rPr>
                <w:rFonts w:asciiTheme="minorEastAsia" w:hAnsiTheme="minorEastAsia"/>
                <w:color w:val="auto"/>
                <w:sz w:val="24"/>
                <w:highlight w:val="none"/>
              </w:rPr>
            </w:pPr>
          </w:p>
        </w:tc>
        <w:tc>
          <w:tcPr>
            <w:tcW w:w="1138" w:type="pct"/>
            <w:vAlign w:val="center"/>
          </w:tcPr>
          <w:p>
            <w:pPr>
              <w:spacing w:line="560" w:lineRule="exact"/>
              <w:rPr>
                <w:rFonts w:asciiTheme="minorEastAsia" w:hAnsiTheme="minorEastAsia"/>
                <w:color w:val="auto"/>
                <w:sz w:val="24"/>
                <w:highlight w:val="none"/>
              </w:rPr>
            </w:pPr>
          </w:p>
        </w:tc>
        <w:tc>
          <w:tcPr>
            <w:tcW w:w="889"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58" w:type="pct"/>
            <w:vAlign w:val="center"/>
          </w:tcPr>
          <w:p>
            <w:pPr>
              <w:spacing w:line="560" w:lineRule="exact"/>
              <w:rPr>
                <w:rFonts w:asciiTheme="minorEastAsia" w:hAnsiTheme="minorEastAsia"/>
                <w:color w:val="auto"/>
                <w:sz w:val="24"/>
                <w:highlight w:val="none"/>
              </w:rPr>
            </w:pPr>
          </w:p>
        </w:tc>
        <w:tc>
          <w:tcPr>
            <w:tcW w:w="982" w:type="pct"/>
            <w:vAlign w:val="center"/>
          </w:tcPr>
          <w:p>
            <w:pPr>
              <w:spacing w:line="560" w:lineRule="exact"/>
              <w:rPr>
                <w:rFonts w:asciiTheme="minorEastAsia" w:hAnsiTheme="minorEastAsia"/>
                <w:color w:val="auto"/>
                <w:sz w:val="24"/>
                <w:highlight w:val="none"/>
              </w:rPr>
            </w:pPr>
          </w:p>
        </w:tc>
        <w:tc>
          <w:tcPr>
            <w:tcW w:w="451" w:type="pct"/>
            <w:vAlign w:val="center"/>
          </w:tcPr>
          <w:p>
            <w:pPr>
              <w:spacing w:line="560" w:lineRule="exact"/>
              <w:rPr>
                <w:rFonts w:asciiTheme="minorEastAsia" w:hAnsiTheme="minorEastAsia"/>
                <w:color w:val="auto"/>
                <w:sz w:val="24"/>
                <w:highlight w:val="none"/>
              </w:rPr>
            </w:pPr>
          </w:p>
        </w:tc>
        <w:tc>
          <w:tcPr>
            <w:tcW w:w="531" w:type="pct"/>
            <w:vAlign w:val="center"/>
          </w:tcPr>
          <w:p>
            <w:pPr>
              <w:spacing w:line="560" w:lineRule="exact"/>
              <w:rPr>
                <w:rFonts w:asciiTheme="minorEastAsia" w:hAnsiTheme="minorEastAsia"/>
                <w:color w:val="auto"/>
                <w:sz w:val="24"/>
                <w:highlight w:val="none"/>
              </w:rPr>
            </w:pPr>
          </w:p>
        </w:tc>
        <w:tc>
          <w:tcPr>
            <w:tcW w:w="547" w:type="pct"/>
            <w:vAlign w:val="center"/>
          </w:tcPr>
          <w:p>
            <w:pPr>
              <w:spacing w:line="560" w:lineRule="exact"/>
              <w:rPr>
                <w:rFonts w:asciiTheme="minorEastAsia" w:hAnsiTheme="minorEastAsia"/>
                <w:color w:val="auto"/>
                <w:sz w:val="24"/>
                <w:highlight w:val="none"/>
              </w:rPr>
            </w:pPr>
          </w:p>
        </w:tc>
        <w:tc>
          <w:tcPr>
            <w:tcW w:w="1138" w:type="pct"/>
            <w:vAlign w:val="center"/>
          </w:tcPr>
          <w:p>
            <w:pPr>
              <w:spacing w:line="560" w:lineRule="exact"/>
              <w:rPr>
                <w:rFonts w:asciiTheme="minorEastAsia" w:hAnsiTheme="minorEastAsia"/>
                <w:color w:val="auto"/>
                <w:sz w:val="24"/>
                <w:highlight w:val="none"/>
              </w:rPr>
            </w:pPr>
          </w:p>
        </w:tc>
        <w:tc>
          <w:tcPr>
            <w:tcW w:w="889"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58" w:type="pct"/>
            <w:vAlign w:val="center"/>
          </w:tcPr>
          <w:p>
            <w:pPr>
              <w:spacing w:line="560" w:lineRule="exact"/>
              <w:rPr>
                <w:rFonts w:asciiTheme="minorEastAsia" w:hAnsiTheme="minorEastAsia"/>
                <w:color w:val="auto"/>
                <w:sz w:val="24"/>
                <w:highlight w:val="none"/>
              </w:rPr>
            </w:pPr>
          </w:p>
        </w:tc>
        <w:tc>
          <w:tcPr>
            <w:tcW w:w="982" w:type="pct"/>
            <w:vAlign w:val="center"/>
          </w:tcPr>
          <w:p>
            <w:pPr>
              <w:spacing w:line="560" w:lineRule="exact"/>
              <w:rPr>
                <w:rFonts w:asciiTheme="minorEastAsia" w:hAnsiTheme="minorEastAsia"/>
                <w:color w:val="auto"/>
                <w:sz w:val="24"/>
                <w:highlight w:val="none"/>
              </w:rPr>
            </w:pPr>
          </w:p>
        </w:tc>
        <w:tc>
          <w:tcPr>
            <w:tcW w:w="451" w:type="pct"/>
            <w:vAlign w:val="center"/>
          </w:tcPr>
          <w:p>
            <w:pPr>
              <w:spacing w:line="560" w:lineRule="exact"/>
              <w:rPr>
                <w:rFonts w:asciiTheme="minorEastAsia" w:hAnsiTheme="minorEastAsia"/>
                <w:color w:val="auto"/>
                <w:sz w:val="24"/>
                <w:highlight w:val="none"/>
              </w:rPr>
            </w:pPr>
          </w:p>
        </w:tc>
        <w:tc>
          <w:tcPr>
            <w:tcW w:w="531" w:type="pct"/>
            <w:vAlign w:val="center"/>
          </w:tcPr>
          <w:p>
            <w:pPr>
              <w:spacing w:line="560" w:lineRule="exact"/>
              <w:rPr>
                <w:rFonts w:asciiTheme="minorEastAsia" w:hAnsiTheme="minorEastAsia"/>
                <w:color w:val="auto"/>
                <w:sz w:val="24"/>
                <w:highlight w:val="none"/>
              </w:rPr>
            </w:pPr>
          </w:p>
        </w:tc>
        <w:tc>
          <w:tcPr>
            <w:tcW w:w="547" w:type="pct"/>
            <w:vAlign w:val="center"/>
          </w:tcPr>
          <w:p>
            <w:pPr>
              <w:spacing w:line="560" w:lineRule="exact"/>
              <w:rPr>
                <w:rFonts w:asciiTheme="minorEastAsia" w:hAnsiTheme="minorEastAsia"/>
                <w:color w:val="auto"/>
                <w:sz w:val="24"/>
                <w:highlight w:val="none"/>
              </w:rPr>
            </w:pPr>
          </w:p>
        </w:tc>
        <w:tc>
          <w:tcPr>
            <w:tcW w:w="1138" w:type="pct"/>
            <w:vAlign w:val="center"/>
          </w:tcPr>
          <w:p>
            <w:pPr>
              <w:spacing w:line="560" w:lineRule="exact"/>
              <w:rPr>
                <w:rFonts w:asciiTheme="minorEastAsia" w:hAnsiTheme="minorEastAsia"/>
                <w:color w:val="auto"/>
                <w:sz w:val="24"/>
                <w:highlight w:val="none"/>
              </w:rPr>
            </w:pPr>
          </w:p>
        </w:tc>
        <w:tc>
          <w:tcPr>
            <w:tcW w:w="889"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58" w:type="pct"/>
            <w:vAlign w:val="center"/>
          </w:tcPr>
          <w:p>
            <w:pPr>
              <w:spacing w:line="560" w:lineRule="exact"/>
              <w:rPr>
                <w:rFonts w:asciiTheme="minorEastAsia" w:hAnsiTheme="minorEastAsia"/>
                <w:color w:val="auto"/>
                <w:sz w:val="24"/>
                <w:highlight w:val="none"/>
              </w:rPr>
            </w:pPr>
          </w:p>
        </w:tc>
        <w:tc>
          <w:tcPr>
            <w:tcW w:w="982" w:type="pct"/>
            <w:vAlign w:val="center"/>
          </w:tcPr>
          <w:p>
            <w:pPr>
              <w:spacing w:line="560" w:lineRule="exact"/>
              <w:rPr>
                <w:rFonts w:asciiTheme="minorEastAsia" w:hAnsiTheme="minorEastAsia"/>
                <w:color w:val="auto"/>
                <w:sz w:val="24"/>
                <w:highlight w:val="none"/>
              </w:rPr>
            </w:pPr>
          </w:p>
        </w:tc>
        <w:tc>
          <w:tcPr>
            <w:tcW w:w="451" w:type="pct"/>
            <w:vAlign w:val="center"/>
          </w:tcPr>
          <w:p>
            <w:pPr>
              <w:spacing w:line="560" w:lineRule="exact"/>
              <w:rPr>
                <w:rFonts w:asciiTheme="minorEastAsia" w:hAnsiTheme="minorEastAsia"/>
                <w:color w:val="auto"/>
                <w:sz w:val="24"/>
                <w:highlight w:val="none"/>
              </w:rPr>
            </w:pPr>
          </w:p>
        </w:tc>
        <w:tc>
          <w:tcPr>
            <w:tcW w:w="531" w:type="pct"/>
            <w:vAlign w:val="center"/>
          </w:tcPr>
          <w:p>
            <w:pPr>
              <w:spacing w:line="560" w:lineRule="exact"/>
              <w:rPr>
                <w:rFonts w:asciiTheme="minorEastAsia" w:hAnsiTheme="minorEastAsia"/>
                <w:color w:val="auto"/>
                <w:sz w:val="24"/>
                <w:highlight w:val="none"/>
              </w:rPr>
            </w:pPr>
          </w:p>
        </w:tc>
        <w:tc>
          <w:tcPr>
            <w:tcW w:w="547" w:type="pct"/>
            <w:vAlign w:val="center"/>
          </w:tcPr>
          <w:p>
            <w:pPr>
              <w:spacing w:line="560" w:lineRule="exact"/>
              <w:rPr>
                <w:rFonts w:asciiTheme="minorEastAsia" w:hAnsiTheme="minorEastAsia"/>
                <w:color w:val="auto"/>
                <w:sz w:val="24"/>
                <w:highlight w:val="none"/>
              </w:rPr>
            </w:pPr>
          </w:p>
        </w:tc>
        <w:tc>
          <w:tcPr>
            <w:tcW w:w="1138" w:type="pct"/>
            <w:vAlign w:val="center"/>
          </w:tcPr>
          <w:p>
            <w:pPr>
              <w:spacing w:line="560" w:lineRule="exact"/>
              <w:rPr>
                <w:rFonts w:asciiTheme="minorEastAsia" w:hAnsiTheme="minorEastAsia"/>
                <w:color w:val="auto"/>
                <w:sz w:val="24"/>
                <w:highlight w:val="none"/>
              </w:rPr>
            </w:pPr>
          </w:p>
        </w:tc>
        <w:tc>
          <w:tcPr>
            <w:tcW w:w="889"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58" w:type="pct"/>
            <w:vAlign w:val="center"/>
          </w:tcPr>
          <w:p>
            <w:pPr>
              <w:spacing w:line="560" w:lineRule="exact"/>
              <w:rPr>
                <w:rFonts w:asciiTheme="minorEastAsia" w:hAnsiTheme="minorEastAsia"/>
                <w:color w:val="auto"/>
                <w:sz w:val="24"/>
                <w:highlight w:val="none"/>
              </w:rPr>
            </w:pPr>
          </w:p>
        </w:tc>
        <w:tc>
          <w:tcPr>
            <w:tcW w:w="982" w:type="pct"/>
            <w:vAlign w:val="center"/>
          </w:tcPr>
          <w:p>
            <w:pPr>
              <w:spacing w:line="560" w:lineRule="exact"/>
              <w:rPr>
                <w:rFonts w:asciiTheme="minorEastAsia" w:hAnsiTheme="minorEastAsia"/>
                <w:color w:val="auto"/>
                <w:sz w:val="24"/>
                <w:highlight w:val="none"/>
              </w:rPr>
            </w:pPr>
          </w:p>
        </w:tc>
        <w:tc>
          <w:tcPr>
            <w:tcW w:w="451" w:type="pct"/>
            <w:vAlign w:val="center"/>
          </w:tcPr>
          <w:p>
            <w:pPr>
              <w:spacing w:line="560" w:lineRule="exact"/>
              <w:rPr>
                <w:rFonts w:asciiTheme="minorEastAsia" w:hAnsiTheme="minorEastAsia"/>
                <w:color w:val="auto"/>
                <w:sz w:val="24"/>
                <w:highlight w:val="none"/>
              </w:rPr>
            </w:pPr>
          </w:p>
        </w:tc>
        <w:tc>
          <w:tcPr>
            <w:tcW w:w="531" w:type="pct"/>
            <w:vAlign w:val="center"/>
          </w:tcPr>
          <w:p>
            <w:pPr>
              <w:spacing w:line="560" w:lineRule="exact"/>
              <w:rPr>
                <w:rFonts w:asciiTheme="minorEastAsia" w:hAnsiTheme="minorEastAsia"/>
                <w:color w:val="auto"/>
                <w:sz w:val="24"/>
                <w:highlight w:val="none"/>
              </w:rPr>
            </w:pPr>
          </w:p>
        </w:tc>
        <w:tc>
          <w:tcPr>
            <w:tcW w:w="547" w:type="pct"/>
            <w:vAlign w:val="center"/>
          </w:tcPr>
          <w:p>
            <w:pPr>
              <w:spacing w:line="560" w:lineRule="exact"/>
              <w:rPr>
                <w:rFonts w:asciiTheme="minorEastAsia" w:hAnsiTheme="minorEastAsia"/>
                <w:color w:val="auto"/>
                <w:sz w:val="24"/>
                <w:highlight w:val="none"/>
              </w:rPr>
            </w:pPr>
          </w:p>
        </w:tc>
        <w:tc>
          <w:tcPr>
            <w:tcW w:w="1138" w:type="pct"/>
            <w:vAlign w:val="center"/>
          </w:tcPr>
          <w:p>
            <w:pPr>
              <w:spacing w:line="560" w:lineRule="exact"/>
              <w:rPr>
                <w:rFonts w:asciiTheme="minorEastAsia" w:hAnsiTheme="minorEastAsia"/>
                <w:color w:val="auto"/>
                <w:sz w:val="24"/>
                <w:highlight w:val="none"/>
              </w:rPr>
            </w:pPr>
          </w:p>
        </w:tc>
        <w:tc>
          <w:tcPr>
            <w:tcW w:w="889" w:type="pct"/>
            <w:vAlign w:val="center"/>
          </w:tcPr>
          <w:p>
            <w:pPr>
              <w:spacing w:line="560" w:lineRule="exact"/>
              <w:rPr>
                <w:rFonts w:asciiTheme="minorEastAsia" w:hAnsiTheme="minorEastAsia"/>
                <w:color w:val="auto"/>
                <w:sz w:val="24"/>
                <w:highlight w:val="none"/>
              </w:rPr>
            </w:pPr>
          </w:p>
        </w:tc>
      </w:tr>
    </w:tbl>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注： 1.须提供技术服务团队情况提供资质材料复印件，并提供该项目人员在本公司任职的外部证明材料（加盖政府有关部门印章的打印日期在本项目信息公告截止日之前六个月以内的《投保单》或《社会保险参保人员证明》，或单位代缴个人所得税税单等。）</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2.可自行增加上表行数。</w:t>
      </w:r>
    </w:p>
    <w:p>
      <w:pP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br w:type="page"/>
      </w:r>
    </w:p>
    <w:p>
      <w:pPr>
        <w:spacing w:line="560" w:lineRule="exact"/>
        <w:jc w:val="cente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lang w:eastAsia="zh-CN"/>
        </w:rPr>
        <w:t>报价人</w:t>
      </w:r>
      <w:r>
        <w:rPr>
          <w:rFonts w:hint="eastAsia" w:asciiTheme="minorEastAsia" w:hAnsiTheme="minorEastAsia"/>
          <w:b/>
          <w:color w:val="auto"/>
          <w:sz w:val="28"/>
          <w:szCs w:val="28"/>
          <w:highlight w:val="none"/>
        </w:rPr>
        <w:t>信誉</w:t>
      </w:r>
    </w:p>
    <w:p>
      <w:pPr>
        <w:spacing w:line="560" w:lineRule="exact"/>
        <w:jc w:val="center"/>
        <w:rPr>
          <w:rFonts w:asciiTheme="minorEastAsia" w:hAnsiTheme="minorEastAsia"/>
          <w:b/>
          <w:color w:val="auto"/>
          <w:sz w:val="28"/>
          <w:szCs w:val="28"/>
          <w:highlight w:val="none"/>
        </w:rPr>
      </w:pPr>
    </w:p>
    <w:tbl>
      <w:tblPr>
        <w:tblStyle w:val="12"/>
        <w:tblW w:w="50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4914"/>
        <w:gridCol w:w="2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41"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序号</w:t>
            </w:r>
          </w:p>
        </w:tc>
        <w:tc>
          <w:tcPr>
            <w:tcW w:w="2833"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获奖名称</w:t>
            </w:r>
          </w:p>
        </w:tc>
        <w:tc>
          <w:tcPr>
            <w:tcW w:w="1725"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1"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2833"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1725"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1" w:type="pct"/>
            <w:vAlign w:val="center"/>
          </w:tcPr>
          <w:p>
            <w:pPr>
              <w:spacing w:line="560" w:lineRule="exact"/>
              <w:rPr>
                <w:rFonts w:asciiTheme="minorEastAsia" w:hAnsiTheme="minorEastAsia"/>
                <w:color w:val="auto"/>
                <w:sz w:val="24"/>
                <w:highlight w:val="none"/>
              </w:rPr>
            </w:pPr>
          </w:p>
        </w:tc>
        <w:tc>
          <w:tcPr>
            <w:tcW w:w="2833" w:type="pct"/>
            <w:vAlign w:val="center"/>
          </w:tcPr>
          <w:p>
            <w:pPr>
              <w:spacing w:line="560" w:lineRule="exact"/>
              <w:rPr>
                <w:rFonts w:asciiTheme="minorEastAsia" w:hAnsiTheme="minorEastAsia"/>
                <w:color w:val="auto"/>
                <w:sz w:val="24"/>
                <w:highlight w:val="none"/>
              </w:rPr>
            </w:pPr>
          </w:p>
        </w:tc>
        <w:tc>
          <w:tcPr>
            <w:tcW w:w="1725"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1" w:type="pct"/>
            <w:vAlign w:val="center"/>
          </w:tcPr>
          <w:p>
            <w:pPr>
              <w:spacing w:line="560" w:lineRule="exact"/>
              <w:rPr>
                <w:rFonts w:asciiTheme="minorEastAsia" w:hAnsiTheme="minorEastAsia"/>
                <w:color w:val="auto"/>
                <w:sz w:val="24"/>
                <w:highlight w:val="none"/>
              </w:rPr>
            </w:pPr>
          </w:p>
        </w:tc>
        <w:tc>
          <w:tcPr>
            <w:tcW w:w="2833" w:type="pct"/>
            <w:vAlign w:val="center"/>
          </w:tcPr>
          <w:p>
            <w:pPr>
              <w:spacing w:line="560" w:lineRule="exact"/>
              <w:rPr>
                <w:rFonts w:asciiTheme="minorEastAsia" w:hAnsiTheme="minorEastAsia"/>
                <w:color w:val="auto"/>
                <w:sz w:val="24"/>
                <w:highlight w:val="none"/>
              </w:rPr>
            </w:pPr>
          </w:p>
        </w:tc>
        <w:tc>
          <w:tcPr>
            <w:tcW w:w="1725"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1" w:type="pct"/>
            <w:vAlign w:val="center"/>
          </w:tcPr>
          <w:p>
            <w:pPr>
              <w:spacing w:line="560" w:lineRule="exact"/>
              <w:rPr>
                <w:rFonts w:asciiTheme="minorEastAsia" w:hAnsiTheme="minorEastAsia"/>
                <w:color w:val="auto"/>
                <w:sz w:val="24"/>
                <w:highlight w:val="none"/>
              </w:rPr>
            </w:pPr>
          </w:p>
        </w:tc>
        <w:tc>
          <w:tcPr>
            <w:tcW w:w="2833" w:type="pct"/>
            <w:vAlign w:val="center"/>
          </w:tcPr>
          <w:p>
            <w:pPr>
              <w:spacing w:line="560" w:lineRule="exact"/>
              <w:rPr>
                <w:rFonts w:asciiTheme="minorEastAsia" w:hAnsiTheme="minorEastAsia"/>
                <w:color w:val="auto"/>
                <w:sz w:val="24"/>
                <w:highlight w:val="none"/>
              </w:rPr>
            </w:pPr>
          </w:p>
        </w:tc>
        <w:tc>
          <w:tcPr>
            <w:tcW w:w="1725"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41" w:type="pct"/>
            <w:vAlign w:val="center"/>
          </w:tcPr>
          <w:p>
            <w:pPr>
              <w:spacing w:line="560" w:lineRule="exact"/>
              <w:rPr>
                <w:rFonts w:asciiTheme="minorEastAsia" w:hAnsiTheme="minorEastAsia"/>
                <w:color w:val="auto"/>
                <w:sz w:val="24"/>
                <w:highlight w:val="none"/>
              </w:rPr>
            </w:pPr>
          </w:p>
        </w:tc>
        <w:tc>
          <w:tcPr>
            <w:tcW w:w="2833" w:type="pct"/>
            <w:vAlign w:val="center"/>
          </w:tcPr>
          <w:p>
            <w:pPr>
              <w:spacing w:line="560" w:lineRule="exact"/>
              <w:rPr>
                <w:rFonts w:asciiTheme="minorEastAsia" w:hAnsiTheme="minorEastAsia"/>
                <w:color w:val="auto"/>
                <w:sz w:val="24"/>
                <w:highlight w:val="none"/>
              </w:rPr>
            </w:pPr>
          </w:p>
        </w:tc>
        <w:tc>
          <w:tcPr>
            <w:tcW w:w="1725" w:type="pct"/>
            <w:vAlign w:val="center"/>
          </w:tcPr>
          <w:p>
            <w:pPr>
              <w:spacing w:line="560" w:lineRule="exact"/>
              <w:rPr>
                <w:rFonts w:asciiTheme="minorEastAsia" w:hAnsiTheme="minorEastAsia"/>
                <w:color w:val="auto"/>
                <w:sz w:val="24"/>
                <w:highlight w:val="none"/>
              </w:rPr>
            </w:pPr>
          </w:p>
        </w:tc>
      </w:tr>
    </w:tbl>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注： 1.诚信优质服务单位或诚信企业须提供机动车维修行业协会网站公示名单截图或提供证书扫描件。</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2.可自行增加上表行数。</w:t>
      </w:r>
    </w:p>
    <w:p>
      <w:pP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br w:type="page"/>
      </w:r>
    </w:p>
    <w:p>
      <w:pPr>
        <w:spacing w:line="560" w:lineRule="exact"/>
        <w:jc w:val="center"/>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拟投入本项目维修设备情况表</w:t>
      </w:r>
    </w:p>
    <w:p>
      <w:pPr>
        <w:spacing w:line="560" w:lineRule="exact"/>
        <w:jc w:val="center"/>
        <w:rPr>
          <w:rFonts w:asciiTheme="minorEastAsia" w:hAnsiTheme="minorEastAsia"/>
          <w:b/>
          <w:color w:val="auto"/>
          <w:sz w:val="28"/>
          <w:szCs w:val="28"/>
          <w:highlight w:val="none"/>
        </w:rPr>
      </w:pPr>
    </w:p>
    <w:tbl>
      <w:tblPr>
        <w:tblStyle w:val="12"/>
        <w:tblW w:w="46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791"/>
        <w:gridCol w:w="1906"/>
        <w:gridCol w:w="142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484"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序号</w:t>
            </w:r>
          </w:p>
        </w:tc>
        <w:tc>
          <w:tcPr>
            <w:tcW w:w="1764"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设备名称</w:t>
            </w:r>
          </w:p>
        </w:tc>
        <w:tc>
          <w:tcPr>
            <w:tcW w:w="1204"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规格型号</w:t>
            </w:r>
          </w:p>
        </w:tc>
        <w:tc>
          <w:tcPr>
            <w:tcW w:w="901" w:type="pct"/>
            <w:vAlign w:val="center"/>
          </w:tcPr>
          <w:p>
            <w:pPr>
              <w:spacing w:line="560" w:lineRule="exact"/>
              <w:jc w:val="center"/>
              <w:rPr>
                <w:rFonts w:asciiTheme="minorEastAsia" w:hAnsiTheme="minorEastAsia"/>
                <w:color w:val="auto"/>
                <w:sz w:val="24"/>
                <w:highlight w:val="none"/>
              </w:rPr>
            </w:pPr>
            <w:r>
              <w:rPr>
                <w:rFonts w:hint="eastAsia" w:asciiTheme="minorEastAsia" w:hAnsiTheme="minorEastAsia"/>
                <w:color w:val="auto"/>
                <w:sz w:val="24"/>
                <w:highlight w:val="none"/>
              </w:rPr>
              <w:t>数量</w:t>
            </w:r>
          </w:p>
        </w:tc>
        <w:tc>
          <w:tcPr>
            <w:tcW w:w="644" w:type="pct"/>
            <w:vAlign w:val="center"/>
          </w:tcPr>
          <w:p>
            <w:pPr>
              <w:spacing w:line="560" w:lineRule="exact"/>
              <w:jc w:val="center"/>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84"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1764" w:type="pct"/>
            <w:vAlign w:val="center"/>
          </w:tcPr>
          <w:p>
            <w:pPr>
              <w:spacing w:line="560" w:lineRule="exact"/>
              <w:rPr>
                <w:rFonts w:asciiTheme="minorEastAsia" w:hAnsiTheme="minorEastAsia"/>
                <w:color w:val="auto"/>
                <w:sz w:val="24"/>
                <w:highlight w:val="none"/>
              </w:rPr>
            </w:pPr>
            <w:r>
              <w:rPr>
                <w:rFonts w:hint="eastAsia" w:asciiTheme="minorEastAsia" w:hAnsiTheme="minorEastAsia"/>
                <w:color w:val="auto"/>
                <w:sz w:val="24"/>
                <w:highlight w:val="none"/>
              </w:rPr>
              <w:t>…</w:t>
            </w:r>
          </w:p>
        </w:tc>
        <w:tc>
          <w:tcPr>
            <w:tcW w:w="1204" w:type="pct"/>
            <w:vAlign w:val="center"/>
          </w:tcPr>
          <w:p>
            <w:pPr>
              <w:spacing w:line="560" w:lineRule="exact"/>
              <w:rPr>
                <w:rFonts w:asciiTheme="minorEastAsia" w:hAnsiTheme="minorEastAsia"/>
                <w:color w:val="auto"/>
                <w:sz w:val="24"/>
                <w:highlight w:val="none"/>
              </w:rPr>
            </w:pPr>
          </w:p>
        </w:tc>
        <w:tc>
          <w:tcPr>
            <w:tcW w:w="901" w:type="pct"/>
            <w:vAlign w:val="center"/>
          </w:tcPr>
          <w:p>
            <w:pPr>
              <w:spacing w:line="560" w:lineRule="exact"/>
              <w:rPr>
                <w:rFonts w:asciiTheme="minorEastAsia" w:hAnsiTheme="minorEastAsia"/>
                <w:color w:val="auto"/>
                <w:sz w:val="24"/>
                <w:highlight w:val="none"/>
              </w:rPr>
            </w:pPr>
          </w:p>
        </w:tc>
        <w:tc>
          <w:tcPr>
            <w:tcW w:w="644"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84" w:type="pct"/>
            <w:vAlign w:val="center"/>
          </w:tcPr>
          <w:p>
            <w:pPr>
              <w:spacing w:line="560" w:lineRule="exact"/>
              <w:rPr>
                <w:rFonts w:asciiTheme="minorEastAsia" w:hAnsiTheme="minorEastAsia"/>
                <w:color w:val="auto"/>
                <w:sz w:val="24"/>
                <w:highlight w:val="none"/>
              </w:rPr>
            </w:pPr>
          </w:p>
        </w:tc>
        <w:tc>
          <w:tcPr>
            <w:tcW w:w="1764" w:type="pct"/>
            <w:vAlign w:val="center"/>
          </w:tcPr>
          <w:p>
            <w:pPr>
              <w:spacing w:line="560" w:lineRule="exact"/>
              <w:rPr>
                <w:rFonts w:asciiTheme="minorEastAsia" w:hAnsiTheme="minorEastAsia"/>
                <w:color w:val="auto"/>
                <w:sz w:val="24"/>
                <w:highlight w:val="none"/>
              </w:rPr>
            </w:pPr>
          </w:p>
        </w:tc>
        <w:tc>
          <w:tcPr>
            <w:tcW w:w="1204" w:type="pct"/>
            <w:vAlign w:val="center"/>
          </w:tcPr>
          <w:p>
            <w:pPr>
              <w:spacing w:line="560" w:lineRule="exact"/>
              <w:rPr>
                <w:rFonts w:asciiTheme="minorEastAsia" w:hAnsiTheme="minorEastAsia"/>
                <w:color w:val="auto"/>
                <w:sz w:val="24"/>
                <w:highlight w:val="none"/>
              </w:rPr>
            </w:pPr>
          </w:p>
        </w:tc>
        <w:tc>
          <w:tcPr>
            <w:tcW w:w="901" w:type="pct"/>
            <w:vAlign w:val="center"/>
          </w:tcPr>
          <w:p>
            <w:pPr>
              <w:spacing w:line="560" w:lineRule="exact"/>
              <w:rPr>
                <w:rFonts w:asciiTheme="minorEastAsia" w:hAnsiTheme="minorEastAsia"/>
                <w:color w:val="auto"/>
                <w:sz w:val="24"/>
                <w:highlight w:val="none"/>
              </w:rPr>
            </w:pPr>
          </w:p>
        </w:tc>
        <w:tc>
          <w:tcPr>
            <w:tcW w:w="644"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84" w:type="pct"/>
            <w:vAlign w:val="center"/>
          </w:tcPr>
          <w:p>
            <w:pPr>
              <w:spacing w:line="560" w:lineRule="exact"/>
              <w:rPr>
                <w:rFonts w:asciiTheme="minorEastAsia" w:hAnsiTheme="minorEastAsia"/>
                <w:color w:val="auto"/>
                <w:sz w:val="24"/>
                <w:highlight w:val="none"/>
              </w:rPr>
            </w:pPr>
          </w:p>
        </w:tc>
        <w:tc>
          <w:tcPr>
            <w:tcW w:w="1764" w:type="pct"/>
            <w:vAlign w:val="center"/>
          </w:tcPr>
          <w:p>
            <w:pPr>
              <w:spacing w:line="560" w:lineRule="exact"/>
              <w:rPr>
                <w:rFonts w:asciiTheme="minorEastAsia" w:hAnsiTheme="minorEastAsia"/>
                <w:color w:val="auto"/>
                <w:sz w:val="24"/>
                <w:highlight w:val="none"/>
              </w:rPr>
            </w:pPr>
          </w:p>
        </w:tc>
        <w:tc>
          <w:tcPr>
            <w:tcW w:w="1204" w:type="pct"/>
            <w:vAlign w:val="center"/>
          </w:tcPr>
          <w:p>
            <w:pPr>
              <w:spacing w:line="560" w:lineRule="exact"/>
              <w:rPr>
                <w:rFonts w:asciiTheme="minorEastAsia" w:hAnsiTheme="minorEastAsia"/>
                <w:color w:val="auto"/>
                <w:sz w:val="24"/>
                <w:highlight w:val="none"/>
              </w:rPr>
            </w:pPr>
          </w:p>
        </w:tc>
        <w:tc>
          <w:tcPr>
            <w:tcW w:w="901" w:type="pct"/>
            <w:vAlign w:val="center"/>
          </w:tcPr>
          <w:p>
            <w:pPr>
              <w:spacing w:line="560" w:lineRule="exact"/>
              <w:rPr>
                <w:rFonts w:asciiTheme="minorEastAsia" w:hAnsiTheme="minorEastAsia"/>
                <w:color w:val="auto"/>
                <w:sz w:val="24"/>
                <w:highlight w:val="none"/>
              </w:rPr>
            </w:pPr>
          </w:p>
        </w:tc>
        <w:tc>
          <w:tcPr>
            <w:tcW w:w="644"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84" w:type="pct"/>
            <w:vAlign w:val="center"/>
          </w:tcPr>
          <w:p>
            <w:pPr>
              <w:spacing w:line="560" w:lineRule="exact"/>
              <w:rPr>
                <w:rFonts w:asciiTheme="minorEastAsia" w:hAnsiTheme="minorEastAsia"/>
                <w:color w:val="auto"/>
                <w:sz w:val="24"/>
                <w:highlight w:val="none"/>
              </w:rPr>
            </w:pPr>
          </w:p>
        </w:tc>
        <w:tc>
          <w:tcPr>
            <w:tcW w:w="1764" w:type="pct"/>
            <w:vAlign w:val="center"/>
          </w:tcPr>
          <w:p>
            <w:pPr>
              <w:spacing w:line="560" w:lineRule="exact"/>
              <w:rPr>
                <w:rFonts w:asciiTheme="minorEastAsia" w:hAnsiTheme="minorEastAsia"/>
                <w:color w:val="auto"/>
                <w:sz w:val="24"/>
                <w:highlight w:val="none"/>
              </w:rPr>
            </w:pPr>
          </w:p>
        </w:tc>
        <w:tc>
          <w:tcPr>
            <w:tcW w:w="1204" w:type="pct"/>
            <w:vAlign w:val="center"/>
          </w:tcPr>
          <w:p>
            <w:pPr>
              <w:spacing w:line="560" w:lineRule="exact"/>
              <w:rPr>
                <w:rFonts w:asciiTheme="minorEastAsia" w:hAnsiTheme="minorEastAsia"/>
                <w:color w:val="auto"/>
                <w:sz w:val="24"/>
                <w:highlight w:val="none"/>
              </w:rPr>
            </w:pPr>
          </w:p>
        </w:tc>
        <w:tc>
          <w:tcPr>
            <w:tcW w:w="901" w:type="pct"/>
            <w:vAlign w:val="center"/>
          </w:tcPr>
          <w:p>
            <w:pPr>
              <w:spacing w:line="560" w:lineRule="exact"/>
              <w:rPr>
                <w:rFonts w:asciiTheme="minorEastAsia" w:hAnsiTheme="minorEastAsia"/>
                <w:color w:val="auto"/>
                <w:sz w:val="24"/>
                <w:highlight w:val="none"/>
              </w:rPr>
            </w:pPr>
          </w:p>
        </w:tc>
        <w:tc>
          <w:tcPr>
            <w:tcW w:w="644" w:type="pct"/>
            <w:vAlign w:val="center"/>
          </w:tcPr>
          <w:p>
            <w:pPr>
              <w:spacing w:line="560" w:lineRule="exac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84" w:type="pct"/>
            <w:vAlign w:val="center"/>
          </w:tcPr>
          <w:p>
            <w:pPr>
              <w:spacing w:line="560" w:lineRule="exact"/>
              <w:rPr>
                <w:rFonts w:asciiTheme="minorEastAsia" w:hAnsiTheme="minorEastAsia"/>
                <w:color w:val="auto"/>
                <w:sz w:val="24"/>
                <w:highlight w:val="none"/>
              </w:rPr>
            </w:pPr>
          </w:p>
        </w:tc>
        <w:tc>
          <w:tcPr>
            <w:tcW w:w="1764" w:type="pct"/>
            <w:vAlign w:val="center"/>
          </w:tcPr>
          <w:p>
            <w:pPr>
              <w:spacing w:line="560" w:lineRule="exact"/>
              <w:rPr>
                <w:rFonts w:asciiTheme="minorEastAsia" w:hAnsiTheme="minorEastAsia"/>
                <w:color w:val="auto"/>
                <w:sz w:val="24"/>
                <w:highlight w:val="none"/>
              </w:rPr>
            </w:pPr>
          </w:p>
        </w:tc>
        <w:tc>
          <w:tcPr>
            <w:tcW w:w="1204" w:type="pct"/>
            <w:vAlign w:val="center"/>
          </w:tcPr>
          <w:p>
            <w:pPr>
              <w:spacing w:line="560" w:lineRule="exact"/>
              <w:rPr>
                <w:rFonts w:asciiTheme="minorEastAsia" w:hAnsiTheme="minorEastAsia"/>
                <w:color w:val="auto"/>
                <w:sz w:val="24"/>
                <w:highlight w:val="none"/>
              </w:rPr>
            </w:pPr>
          </w:p>
        </w:tc>
        <w:tc>
          <w:tcPr>
            <w:tcW w:w="901" w:type="pct"/>
            <w:vAlign w:val="center"/>
          </w:tcPr>
          <w:p>
            <w:pPr>
              <w:spacing w:line="560" w:lineRule="exact"/>
              <w:rPr>
                <w:rFonts w:asciiTheme="minorEastAsia" w:hAnsiTheme="minorEastAsia"/>
                <w:color w:val="auto"/>
                <w:sz w:val="24"/>
                <w:highlight w:val="none"/>
              </w:rPr>
            </w:pPr>
          </w:p>
        </w:tc>
        <w:tc>
          <w:tcPr>
            <w:tcW w:w="644" w:type="pct"/>
            <w:vAlign w:val="center"/>
          </w:tcPr>
          <w:p>
            <w:pPr>
              <w:spacing w:line="560" w:lineRule="exact"/>
              <w:rPr>
                <w:rFonts w:asciiTheme="minorEastAsia" w:hAnsiTheme="minorEastAsia"/>
                <w:color w:val="auto"/>
                <w:sz w:val="24"/>
                <w:highlight w:val="none"/>
              </w:rPr>
            </w:pPr>
          </w:p>
        </w:tc>
      </w:tr>
    </w:tbl>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注： 1.须提供现场实物、实景照片作为证明材料或者得供承诺函。</w:t>
      </w:r>
    </w:p>
    <w:p>
      <w:pPr>
        <w:widowControl/>
        <w:spacing w:line="400" w:lineRule="exact"/>
        <w:ind w:firstLine="420" w:firstLineChars="200"/>
        <w:jc w:val="left"/>
        <w:rPr>
          <w:rFonts w:ascii="新宋体" w:hAnsi="新宋体" w:eastAsia="新宋体" w:cs="新宋体"/>
          <w:color w:val="auto"/>
          <w:kern w:val="0"/>
          <w:szCs w:val="21"/>
          <w:highlight w:val="none"/>
          <w:lang w:bidi="ar"/>
        </w:rPr>
      </w:pPr>
      <w:r>
        <w:rPr>
          <w:rFonts w:hint="eastAsia" w:ascii="新宋体" w:hAnsi="新宋体" w:eastAsia="新宋体" w:cs="新宋体"/>
          <w:color w:val="auto"/>
          <w:kern w:val="0"/>
          <w:szCs w:val="21"/>
          <w:highlight w:val="none"/>
          <w:lang w:bidi="ar"/>
        </w:rPr>
        <w:t>2.可自行增加上表行数。</w:t>
      </w:r>
    </w:p>
    <w:p>
      <w:pPr>
        <w:spacing w:line="560" w:lineRule="exact"/>
        <w:rPr>
          <w:rFonts w:asciiTheme="minorEastAsia" w:hAnsiTheme="minorEastAsia"/>
          <w:color w:val="auto"/>
          <w:sz w:val="28"/>
          <w:szCs w:val="28"/>
          <w:highlight w:val="none"/>
        </w:rPr>
      </w:pPr>
    </w:p>
    <w:p>
      <w:pPr>
        <w:rPr>
          <w:rFonts w:ascii="新宋体" w:hAnsi="新宋体" w:eastAsia="新宋体" w:cs="新宋体"/>
          <w:b/>
          <w:bCs/>
          <w:color w:val="auto"/>
          <w:kern w:val="0"/>
          <w:sz w:val="30"/>
          <w:szCs w:val="30"/>
          <w:highlight w:val="none"/>
          <w:lang w:bidi="ar"/>
        </w:rPr>
      </w:pPr>
    </w:p>
    <w:p>
      <w:pP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服务方案</w:t>
      </w:r>
    </w:p>
    <w:p>
      <w:pPr>
        <w:widowControl/>
        <w:spacing w:line="400" w:lineRule="exact"/>
        <w:ind w:firstLine="480" w:firstLineChars="200"/>
        <w:jc w:val="left"/>
        <w:rPr>
          <w:rFonts w:ascii="新宋体" w:hAnsi="新宋体" w:eastAsia="新宋体" w:cs="新宋体"/>
          <w:color w:val="auto"/>
          <w:kern w:val="0"/>
          <w:sz w:val="24"/>
          <w:highlight w:val="none"/>
          <w:lang w:bidi="ar"/>
        </w:rPr>
      </w:pPr>
    </w:p>
    <w:p>
      <w:pPr>
        <w:widowControl/>
        <w:spacing w:line="400" w:lineRule="exact"/>
        <w:ind w:firstLine="480" w:firstLineChars="200"/>
        <w:jc w:val="left"/>
        <w:rPr>
          <w:rFonts w:ascii="新宋体" w:hAnsi="新宋体" w:eastAsia="新宋体" w:cs="新宋体"/>
          <w:color w:val="auto"/>
          <w:sz w:val="24"/>
          <w:highlight w:val="none"/>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可根据第五部分“采购需求”和商务部分评审要求制定本项目服务方案，并提供相关的合同、报告、证书、图片等证明材料佐证。</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实质性响应条款一览表</w:t>
      </w:r>
    </w:p>
    <w:p>
      <w:pPr>
        <w:widowControl/>
        <w:spacing w:line="400" w:lineRule="exact"/>
        <w:jc w:val="left"/>
        <w:rPr>
          <w:rFonts w:ascii="新宋体" w:hAnsi="新宋体" w:eastAsia="新宋体" w:cs="新宋体"/>
          <w:color w:val="auto"/>
          <w:kern w:val="0"/>
          <w:sz w:val="24"/>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450"/>
        <w:gridCol w:w="219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序号</w:t>
            </w:r>
          </w:p>
        </w:tc>
        <w:tc>
          <w:tcPr>
            <w:tcW w:w="3450"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实质性响应条款</w:t>
            </w:r>
          </w:p>
        </w:tc>
        <w:tc>
          <w:tcPr>
            <w:tcW w:w="2197"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响应情况</w:t>
            </w:r>
          </w:p>
        </w:tc>
        <w:tc>
          <w:tcPr>
            <w:tcW w:w="2131"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w:t>
            </w:r>
          </w:p>
        </w:tc>
        <w:tc>
          <w:tcPr>
            <w:tcW w:w="3450" w:type="dxa"/>
          </w:tcPr>
          <w:p>
            <w:pPr>
              <w:widowControl/>
              <w:spacing w:line="400" w:lineRule="exact"/>
              <w:jc w:val="left"/>
              <w:rPr>
                <w:rFonts w:ascii="新宋体" w:hAnsi="新宋体" w:eastAsia="新宋体" w:cs="新宋体"/>
                <w:color w:val="auto"/>
                <w:kern w:val="0"/>
                <w:sz w:val="24"/>
                <w:highlight w:val="none"/>
                <w:lang w:bidi="ar"/>
              </w:rPr>
            </w:pPr>
          </w:p>
        </w:tc>
        <w:tc>
          <w:tcPr>
            <w:tcW w:w="2197" w:type="dxa"/>
          </w:tcPr>
          <w:p>
            <w:pPr>
              <w:widowControl/>
              <w:spacing w:line="400" w:lineRule="exact"/>
              <w:jc w:val="left"/>
              <w:rPr>
                <w:rFonts w:ascii="新宋体" w:hAnsi="新宋体" w:eastAsia="新宋体" w:cs="新宋体"/>
                <w:color w:val="auto"/>
                <w:kern w:val="0"/>
                <w:sz w:val="24"/>
                <w:highlight w:val="none"/>
                <w:lang w:bidi="ar"/>
              </w:rPr>
            </w:pPr>
          </w:p>
        </w:tc>
        <w:tc>
          <w:tcPr>
            <w:tcW w:w="2131" w:type="dxa"/>
          </w:tcPr>
          <w:p>
            <w:pPr>
              <w:widowControl/>
              <w:spacing w:line="400" w:lineRule="exact"/>
              <w:jc w:val="left"/>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w:t>
            </w:r>
          </w:p>
        </w:tc>
        <w:tc>
          <w:tcPr>
            <w:tcW w:w="3450" w:type="dxa"/>
          </w:tcPr>
          <w:p>
            <w:pPr>
              <w:widowControl/>
              <w:spacing w:line="400" w:lineRule="exact"/>
              <w:jc w:val="left"/>
              <w:rPr>
                <w:rFonts w:ascii="新宋体" w:hAnsi="新宋体" w:eastAsia="新宋体" w:cs="新宋体"/>
                <w:color w:val="auto"/>
                <w:kern w:val="0"/>
                <w:sz w:val="24"/>
                <w:highlight w:val="none"/>
                <w:lang w:bidi="ar"/>
              </w:rPr>
            </w:pPr>
          </w:p>
        </w:tc>
        <w:tc>
          <w:tcPr>
            <w:tcW w:w="2197" w:type="dxa"/>
          </w:tcPr>
          <w:p>
            <w:pPr>
              <w:widowControl/>
              <w:spacing w:line="400" w:lineRule="exact"/>
              <w:jc w:val="left"/>
              <w:rPr>
                <w:rFonts w:ascii="新宋体" w:hAnsi="新宋体" w:eastAsia="新宋体" w:cs="新宋体"/>
                <w:color w:val="auto"/>
                <w:kern w:val="0"/>
                <w:sz w:val="24"/>
                <w:highlight w:val="none"/>
                <w:lang w:bidi="ar"/>
              </w:rPr>
            </w:pPr>
          </w:p>
        </w:tc>
        <w:tc>
          <w:tcPr>
            <w:tcW w:w="2131" w:type="dxa"/>
          </w:tcPr>
          <w:p>
            <w:pPr>
              <w:widowControl/>
              <w:spacing w:line="400" w:lineRule="exact"/>
              <w:jc w:val="left"/>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w:t>
            </w:r>
          </w:p>
        </w:tc>
        <w:tc>
          <w:tcPr>
            <w:tcW w:w="3450" w:type="dxa"/>
          </w:tcPr>
          <w:p>
            <w:pPr>
              <w:widowControl/>
              <w:spacing w:line="400" w:lineRule="exact"/>
              <w:jc w:val="left"/>
              <w:rPr>
                <w:rFonts w:ascii="新宋体" w:hAnsi="新宋体" w:eastAsia="新宋体" w:cs="新宋体"/>
                <w:color w:val="auto"/>
                <w:kern w:val="0"/>
                <w:sz w:val="24"/>
                <w:highlight w:val="none"/>
                <w:lang w:bidi="ar"/>
              </w:rPr>
            </w:pPr>
          </w:p>
        </w:tc>
        <w:tc>
          <w:tcPr>
            <w:tcW w:w="2197" w:type="dxa"/>
          </w:tcPr>
          <w:p>
            <w:pPr>
              <w:widowControl/>
              <w:spacing w:line="400" w:lineRule="exact"/>
              <w:jc w:val="left"/>
              <w:rPr>
                <w:rFonts w:ascii="新宋体" w:hAnsi="新宋体" w:eastAsia="新宋体" w:cs="新宋体"/>
                <w:color w:val="auto"/>
                <w:kern w:val="0"/>
                <w:sz w:val="24"/>
                <w:highlight w:val="none"/>
                <w:lang w:bidi="ar"/>
              </w:rPr>
            </w:pPr>
          </w:p>
        </w:tc>
        <w:tc>
          <w:tcPr>
            <w:tcW w:w="2131" w:type="dxa"/>
          </w:tcPr>
          <w:p>
            <w:pPr>
              <w:widowControl/>
              <w:spacing w:line="400" w:lineRule="exact"/>
              <w:jc w:val="left"/>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4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w:t>
            </w:r>
          </w:p>
        </w:tc>
        <w:tc>
          <w:tcPr>
            <w:tcW w:w="3450" w:type="dxa"/>
          </w:tcPr>
          <w:p>
            <w:pPr>
              <w:widowControl/>
              <w:spacing w:line="400" w:lineRule="exact"/>
              <w:jc w:val="left"/>
              <w:rPr>
                <w:rFonts w:ascii="新宋体" w:hAnsi="新宋体" w:eastAsia="新宋体" w:cs="新宋体"/>
                <w:color w:val="auto"/>
                <w:kern w:val="0"/>
                <w:sz w:val="24"/>
                <w:highlight w:val="none"/>
                <w:lang w:bidi="ar"/>
              </w:rPr>
            </w:pPr>
          </w:p>
        </w:tc>
        <w:tc>
          <w:tcPr>
            <w:tcW w:w="2197" w:type="dxa"/>
          </w:tcPr>
          <w:p>
            <w:pPr>
              <w:widowControl/>
              <w:spacing w:line="400" w:lineRule="exact"/>
              <w:jc w:val="left"/>
              <w:rPr>
                <w:rFonts w:ascii="新宋体" w:hAnsi="新宋体" w:eastAsia="新宋体" w:cs="新宋体"/>
                <w:color w:val="auto"/>
                <w:kern w:val="0"/>
                <w:sz w:val="24"/>
                <w:highlight w:val="none"/>
                <w:lang w:bidi="ar"/>
              </w:rPr>
            </w:pPr>
          </w:p>
        </w:tc>
        <w:tc>
          <w:tcPr>
            <w:tcW w:w="2131" w:type="dxa"/>
          </w:tcPr>
          <w:p>
            <w:pPr>
              <w:widowControl/>
              <w:spacing w:line="400" w:lineRule="exact"/>
              <w:jc w:val="left"/>
              <w:rPr>
                <w:rFonts w:ascii="新宋体" w:hAnsi="新宋体" w:eastAsia="新宋体" w:cs="新宋体"/>
                <w:color w:val="auto"/>
                <w:kern w:val="0"/>
                <w:sz w:val="24"/>
                <w:highlight w:val="none"/>
                <w:lang w:bidi="ar"/>
              </w:rPr>
            </w:pPr>
          </w:p>
        </w:tc>
      </w:tr>
    </w:tbl>
    <w:p>
      <w:pPr>
        <w:widowControl/>
        <w:spacing w:line="400" w:lineRule="exact"/>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填报要求：</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1.实质性响应条款一览表后续内容请根据</w:t>
      </w:r>
      <w:r>
        <w:rPr>
          <w:rFonts w:hint="eastAsia" w:ascii="新宋体" w:hAnsi="新宋体" w:eastAsia="新宋体" w:cs="新宋体"/>
          <w:color w:val="auto"/>
          <w:kern w:val="0"/>
          <w:szCs w:val="21"/>
          <w:highlight w:val="none"/>
          <w:lang w:eastAsia="zh-CN" w:bidi="ar"/>
        </w:rPr>
        <w:t>采购文件</w:t>
      </w:r>
      <w:r>
        <w:rPr>
          <w:rFonts w:hint="eastAsia" w:ascii="新宋体" w:hAnsi="新宋体" w:eastAsia="新宋体" w:cs="新宋体"/>
          <w:color w:val="auto"/>
          <w:kern w:val="0"/>
          <w:szCs w:val="21"/>
          <w:highlight w:val="none"/>
          <w:lang w:bidi="ar"/>
        </w:rPr>
        <w:t>★号条款详细列举。</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2.本表所列条款必须一一予以响应，“</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响应情况”一栏应填写具体的响应内容，有差异的要具体说明。</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3.请</w:t>
      </w:r>
      <w:r>
        <w:rPr>
          <w:rFonts w:hint="eastAsia" w:ascii="新宋体" w:hAnsi="新宋体" w:eastAsia="新宋体" w:cs="新宋体"/>
          <w:color w:val="auto"/>
          <w:kern w:val="0"/>
          <w:szCs w:val="21"/>
          <w:highlight w:val="none"/>
          <w:lang w:eastAsia="zh-CN" w:bidi="ar"/>
        </w:rPr>
        <w:t>报价人</w:t>
      </w:r>
      <w:r>
        <w:rPr>
          <w:rFonts w:hint="eastAsia" w:ascii="新宋体" w:hAnsi="新宋体" w:eastAsia="新宋体" w:cs="新宋体"/>
          <w:color w:val="auto"/>
          <w:kern w:val="0"/>
          <w:szCs w:val="21"/>
          <w:highlight w:val="none"/>
          <w:lang w:bidi="ar"/>
        </w:rPr>
        <w:t>认真填写本表内容，如填写错误将可能导致响应竞价无效。</w:t>
      </w:r>
    </w:p>
    <w:p>
      <w:pPr>
        <w:widowControl/>
        <w:spacing w:line="400" w:lineRule="exact"/>
        <w:ind w:firstLine="420" w:firstLineChars="200"/>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4.若无差异，留空，视为完全响应。</w:t>
      </w:r>
    </w:p>
    <w:p>
      <w:pPr>
        <w:rPr>
          <w:rFonts w:ascii="新宋体" w:hAnsi="新宋体" w:eastAsia="新宋体" w:cs="新宋体"/>
          <w:b/>
          <w:bCs/>
          <w:color w:val="auto"/>
          <w:kern w:val="0"/>
          <w:sz w:val="24"/>
          <w:highlight w:val="none"/>
          <w:lang w:bidi="ar"/>
        </w:rPr>
      </w:pPr>
      <w:r>
        <w:rPr>
          <w:rFonts w:hint="eastAsia" w:ascii="新宋体" w:hAnsi="新宋体" w:eastAsia="新宋体" w:cs="新宋体"/>
          <w:b/>
          <w:bCs/>
          <w:color w:val="auto"/>
          <w:kern w:val="0"/>
          <w:sz w:val="24"/>
          <w:highlight w:val="none"/>
          <w:lang w:bidi="ar"/>
        </w:rPr>
        <w:br w:type="page"/>
      </w:r>
    </w:p>
    <w:p>
      <w:pPr>
        <w:widowControl/>
        <w:spacing w:line="400" w:lineRule="exact"/>
        <w:jc w:val="center"/>
        <w:rPr>
          <w:rFonts w:ascii="新宋体" w:hAnsi="新宋体" w:eastAsia="新宋体" w:cs="新宋体"/>
          <w:b/>
          <w:bCs/>
          <w:color w:val="auto"/>
          <w:kern w:val="0"/>
          <w:sz w:val="30"/>
          <w:szCs w:val="30"/>
          <w:highlight w:val="none"/>
          <w:lang w:bidi="ar"/>
        </w:rPr>
      </w:pPr>
      <w:r>
        <w:rPr>
          <w:rFonts w:hint="eastAsia" w:ascii="新宋体" w:hAnsi="新宋体" w:eastAsia="新宋体" w:cs="新宋体"/>
          <w:b/>
          <w:bCs/>
          <w:color w:val="auto"/>
          <w:kern w:val="0"/>
          <w:sz w:val="30"/>
          <w:szCs w:val="30"/>
          <w:highlight w:val="none"/>
          <w:lang w:bidi="ar"/>
        </w:rPr>
        <w:t>服务方案一般性条款响应差异表</w:t>
      </w:r>
    </w:p>
    <w:p>
      <w:pPr>
        <w:widowControl/>
        <w:spacing w:line="400" w:lineRule="exact"/>
        <w:jc w:val="center"/>
        <w:rPr>
          <w:rFonts w:ascii="新宋体" w:hAnsi="新宋体" w:eastAsia="新宋体" w:cs="新宋体"/>
          <w:b/>
          <w:bCs/>
          <w:color w:val="auto"/>
          <w:kern w:val="0"/>
          <w:sz w:val="28"/>
          <w:szCs w:val="28"/>
          <w:highlight w:val="none"/>
          <w:lang w:bidi="ar"/>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2864"/>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0" w:type="dxa"/>
            <w:gridSpan w:val="2"/>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采购需求</w:t>
            </w:r>
          </w:p>
        </w:tc>
        <w:tc>
          <w:tcPr>
            <w:tcW w:w="4262" w:type="dxa"/>
            <w:gridSpan w:val="2"/>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eastAsia="zh-CN" w:bidi="ar"/>
              </w:rPr>
              <w:t>报价人</w:t>
            </w:r>
            <w:r>
              <w:rPr>
                <w:rFonts w:hint="eastAsia" w:ascii="新宋体" w:hAnsi="新宋体" w:eastAsia="新宋体" w:cs="新宋体"/>
                <w:color w:val="auto"/>
                <w:kern w:val="0"/>
                <w:sz w:val="24"/>
                <w:highlight w:val="none"/>
                <w:lang w:bidi="ar"/>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序号</w:t>
            </w:r>
          </w:p>
        </w:tc>
        <w:tc>
          <w:tcPr>
            <w:tcW w:w="2864"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项目内容</w:t>
            </w:r>
          </w:p>
        </w:tc>
        <w:tc>
          <w:tcPr>
            <w:tcW w:w="2131"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承诺</w:t>
            </w:r>
          </w:p>
        </w:tc>
        <w:tc>
          <w:tcPr>
            <w:tcW w:w="2131"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1</w:t>
            </w:r>
          </w:p>
        </w:tc>
        <w:tc>
          <w:tcPr>
            <w:tcW w:w="2864"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2</w:t>
            </w:r>
          </w:p>
        </w:tc>
        <w:tc>
          <w:tcPr>
            <w:tcW w:w="2864"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3</w:t>
            </w:r>
          </w:p>
        </w:tc>
        <w:tc>
          <w:tcPr>
            <w:tcW w:w="2864"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pPr>
              <w:widowControl/>
              <w:spacing w:line="400" w:lineRule="exact"/>
              <w:jc w:val="center"/>
              <w:rPr>
                <w:rFonts w:ascii="新宋体" w:hAnsi="新宋体" w:eastAsia="新宋体" w:cs="新宋体"/>
                <w:color w:val="auto"/>
                <w:kern w:val="0"/>
                <w:sz w:val="24"/>
                <w:highlight w:val="none"/>
                <w:lang w:bidi="ar"/>
              </w:rPr>
            </w:pPr>
            <w:r>
              <w:rPr>
                <w:rFonts w:hint="eastAsia" w:ascii="新宋体" w:hAnsi="新宋体" w:eastAsia="新宋体" w:cs="新宋体"/>
                <w:color w:val="auto"/>
                <w:kern w:val="0"/>
                <w:sz w:val="24"/>
                <w:highlight w:val="none"/>
                <w:lang w:bidi="ar"/>
              </w:rPr>
              <w:t>…</w:t>
            </w:r>
          </w:p>
        </w:tc>
        <w:tc>
          <w:tcPr>
            <w:tcW w:w="2864"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c>
          <w:tcPr>
            <w:tcW w:w="2131" w:type="dxa"/>
          </w:tcPr>
          <w:p>
            <w:pPr>
              <w:widowControl/>
              <w:spacing w:line="400" w:lineRule="exact"/>
              <w:jc w:val="center"/>
              <w:rPr>
                <w:rFonts w:ascii="新宋体" w:hAnsi="新宋体" w:eastAsia="新宋体" w:cs="新宋体"/>
                <w:color w:val="auto"/>
                <w:kern w:val="0"/>
                <w:sz w:val="24"/>
                <w:highlight w:val="none"/>
                <w:lang w:bidi="ar"/>
              </w:rPr>
            </w:pPr>
          </w:p>
        </w:tc>
      </w:tr>
    </w:tbl>
    <w:p>
      <w:pPr>
        <w:widowControl/>
        <w:spacing w:line="400" w:lineRule="exact"/>
        <w:jc w:val="left"/>
        <w:rPr>
          <w:rFonts w:ascii="新宋体" w:hAnsi="新宋体" w:eastAsia="新宋体" w:cs="新宋体"/>
          <w:color w:val="auto"/>
          <w:szCs w:val="21"/>
          <w:highlight w:val="none"/>
        </w:rPr>
      </w:pPr>
      <w:r>
        <w:rPr>
          <w:rFonts w:hint="eastAsia" w:ascii="新宋体" w:hAnsi="新宋体" w:eastAsia="新宋体" w:cs="新宋体"/>
          <w:color w:val="auto"/>
          <w:kern w:val="0"/>
          <w:szCs w:val="21"/>
          <w:highlight w:val="none"/>
          <w:lang w:bidi="ar"/>
        </w:rPr>
        <w:t>填报要求：请按第五部分采购需求列出差异内容，若无差异，留空，视为完全响应。</w:t>
      </w:r>
    </w:p>
    <w:p>
      <w:pPr>
        <w:spacing w:line="400" w:lineRule="exact"/>
        <w:rPr>
          <w:rFonts w:ascii="新宋体" w:hAnsi="新宋体" w:eastAsia="新宋体" w:cs="新宋体"/>
          <w:color w:val="auto"/>
          <w:sz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5139"/>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66</w:t>
                    </w:r>
                    <w:r>
                      <w:fldChar w:fldCharType="end"/>
                    </w:r>
                    <w:r>
                      <w:t xml:space="preserve"> 页</w:t>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rPr>
        <w:rFonts w:eastAsia="新宋体"/>
        <w:szCs w:val="18"/>
      </w:rPr>
    </w:pPr>
    <w:r>
      <w:rPr>
        <w:rFonts w:hint="eastAsia" w:ascii="新宋体" w:hAnsi="新宋体" w:eastAsia="新宋体" w:cs="新宋体"/>
        <w:szCs w:val="18"/>
      </w:rPr>
      <w:t>广州市自来水工程有限公司</w:t>
    </w:r>
    <w:r>
      <w:rPr>
        <w:rFonts w:hint="eastAsia" w:ascii="新宋体" w:hAnsi="新宋体" w:eastAsia="新宋体" w:cs="新宋体"/>
        <w:szCs w:val="18"/>
        <w:lang w:eastAsia="zh-CN"/>
      </w:rPr>
      <w:t>2023～2025</w:t>
    </w:r>
    <w:r>
      <w:rPr>
        <w:rFonts w:hint="eastAsia" w:ascii="新宋体" w:hAnsi="新宋体" w:eastAsia="新宋体" w:cs="新宋体"/>
        <w:szCs w:val="18"/>
      </w:rPr>
      <w:t>年度车辆维修保养服务采购文件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C1A7B6"/>
    <w:multiLevelType w:val="singleLevel"/>
    <w:tmpl w:val="88C1A7B6"/>
    <w:lvl w:ilvl="0" w:tentative="0">
      <w:start w:val="2"/>
      <w:numFmt w:val="chineseCounting"/>
      <w:suff w:val="nothing"/>
      <w:lvlText w:val="%1、"/>
      <w:lvlJc w:val="left"/>
      <w:rPr>
        <w:rFonts w:hint="eastAsia"/>
      </w:rPr>
    </w:lvl>
  </w:abstractNum>
  <w:abstractNum w:abstractNumId="1">
    <w:nsid w:val="B8D26261"/>
    <w:multiLevelType w:val="singleLevel"/>
    <w:tmpl w:val="B8D26261"/>
    <w:lvl w:ilvl="0" w:tentative="0">
      <w:start w:val="4"/>
      <w:numFmt w:val="chineseCounting"/>
      <w:suff w:val="nothing"/>
      <w:lvlText w:val="（%1）"/>
      <w:lvlJc w:val="left"/>
      <w:rPr>
        <w:rFonts w:hint="eastAsia"/>
      </w:rPr>
    </w:lvl>
  </w:abstractNum>
  <w:abstractNum w:abstractNumId="2">
    <w:nsid w:val="BF68F11F"/>
    <w:multiLevelType w:val="singleLevel"/>
    <w:tmpl w:val="BF68F11F"/>
    <w:lvl w:ilvl="0" w:tentative="0">
      <w:start w:val="1"/>
      <w:numFmt w:val="decimal"/>
      <w:lvlText w:val="%1."/>
      <w:lvlJc w:val="left"/>
      <w:pPr>
        <w:tabs>
          <w:tab w:val="left" w:pos="312"/>
        </w:tabs>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OWQzNzZhY2QwNjhlNzFlZGMxOGZiMDcwNmFhZTQifQ=="/>
  </w:docVars>
  <w:rsids>
    <w:rsidRoot w:val="54360C52"/>
    <w:rsid w:val="001E1E91"/>
    <w:rsid w:val="0046206F"/>
    <w:rsid w:val="005826ED"/>
    <w:rsid w:val="005833EC"/>
    <w:rsid w:val="00684A23"/>
    <w:rsid w:val="007A4F85"/>
    <w:rsid w:val="00805F08"/>
    <w:rsid w:val="00832F11"/>
    <w:rsid w:val="009C3DB7"/>
    <w:rsid w:val="00B51B4D"/>
    <w:rsid w:val="00FA5A31"/>
    <w:rsid w:val="017C0447"/>
    <w:rsid w:val="019D44CB"/>
    <w:rsid w:val="01C236AA"/>
    <w:rsid w:val="02694163"/>
    <w:rsid w:val="027C7AA7"/>
    <w:rsid w:val="02AE5C18"/>
    <w:rsid w:val="033C0E47"/>
    <w:rsid w:val="034E3E75"/>
    <w:rsid w:val="038C496D"/>
    <w:rsid w:val="03C14219"/>
    <w:rsid w:val="0414276F"/>
    <w:rsid w:val="04636A4A"/>
    <w:rsid w:val="04A336BC"/>
    <w:rsid w:val="04B073F7"/>
    <w:rsid w:val="051E00E3"/>
    <w:rsid w:val="05C8655F"/>
    <w:rsid w:val="0616459D"/>
    <w:rsid w:val="06367F56"/>
    <w:rsid w:val="067B12B7"/>
    <w:rsid w:val="067F3DAA"/>
    <w:rsid w:val="0681016A"/>
    <w:rsid w:val="06984735"/>
    <w:rsid w:val="069A0AFF"/>
    <w:rsid w:val="071E2229"/>
    <w:rsid w:val="0724700D"/>
    <w:rsid w:val="077614EF"/>
    <w:rsid w:val="077A653C"/>
    <w:rsid w:val="08103DF5"/>
    <w:rsid w:val="08504C31"/>
    <w:rsid w:val="089E7D2A"/>
    <w:rsid w:val="08B550AD"/>
    <w:rsid w:val="08DD5D60"/>
    <w:rsid w:val="08FA50E4"/>
    <w:rsid w:val="09504202"/>
    <w:rsid w:val="09B24819"/>
    <w:rsid w:val="09F26E26"/>
    <w:rsid w:val="0A7725F6"/>
    <w:rsid w:val="0ADF0F8A"/>
    <w:rsid w:val="0B762127"/>
    <w:rsid w:val="0BA43443"/>
    <w:rsid w:val="0BA63302"/>
    <w:rsid w:val="0BE77E99"/>
    <w:rsid w:val="0BF325EF"/>
    <w:rsid w:val="0C324B95"/>
    <w:rsid w:val="0C3A566F"/>
    <w:rsid w:val="0D145CA8"/>
    <w:rsid w:val="0DA40EDB"/>
    <w:rsid w:val="0DCA2AC1"/>
    <w:rsid w:val="0DEA07AF"/>
    <w:rsid w:val="0DEE3E04"/>
    <w:rsid w:val="0E1356EF"/>
    <w:rsid w:val="0E23352F"/>
    <w:rsid w:val="0E6F3328"/>
    <w:rsid w:val="0E981E30"/>
    <w:rsid w:val="0EA016B2"/>
    <w:rsid w:val="0EBD7D33"/>
    <w:rsid w:val="0F7D1F38"/>
    <w:rsid w:val="106F2985"/>
    <w:rsid w:val="10731BF8"/>
    <w:rsid w:val="10846442"/>
    <w:rsid w:val="10853E2D"/>
    <w:rsid w:val="11335CA5"/>
    <w:rsid w:val="114569F6"/>
    <w:rsid w:val="116A015E"/>
    <w:rsid w:val="11C04EF9"/>
    <w:rsid w:val="123A110D"/>
    <w:rsid w:val="12B747B4"/>
    <w:rsid w:val="13755BE2"/>
    <w:rsid w:val="14292CBA"/>
    <w:rsid w:val="142E7D8F"/>
    <w:rsid w:val="14452E6C"/>
    <w:rsid w:val="1482302A"/>
    <w:rsid w:val="14F415A7"/>
    <w:rsid w:val="151C17D3"/>
    <w:rsid w:val="1676667C"/>
    <w:rsid w:val="16916146"/>
    <w:rsid w:val="17642C3D"/>
    <w:rsid w:val="176D4316"/>
    <w:rsid w:val="17766761"/>
    <w:rsid w:val="17BE4329"/>
    <w:rsid w:val="17D670E2"/>
    <w:rsid w:val="18422EB6"/>
    <w:rsid w:val="18B41207"/>
    <w:rsid w:val="18D42B28"/>
    <w:rsid w:val="18ED7429"/>
    <w:rsid w:val="1910318D"/>
    <w:rsid w:val="19122485"/>
    <w:rsid w:val="19384199"/>
    <w:rsid w:val="194B373A"/>
    <w:rsid w:val="19824D3E"/>
    <w:rsid w:val="19CF5DF1"/>
    <w:rsid w:val="19D7672A"/>
    <w:rsid w:val="19DE3FF4"/>
    <w:rsid w:val="1B506DE6"/>
    <w:rsid w:val="1B632044"/>
    <w:rsid w:val="1C311BD5"/>
    <w:rsid w:val="1C564B81"/>
    <w:rsid w:val="1C5B26D4"/>
    <w:rsid w:val="1C8333BB"/>
    <w:rsid w:val="1DBD7975"/>
    <w:rsid w:val="1E1278FC"/>
    <w:rsid w:val="1E6C76BA"/>
    <w:rsid w:val="1E877B76"/>
    <w:rsid w:val="1EB51D82"/>
    <w:rsid w:val="1F4D4974"/>
    <w:rsid w:val="1F7C464D"/>
    <w:rsid w:val="1F947B99"/>
    <w:rsid w:val="1FD502E1"/>
    <w:rsid w:val="201D0E9E"/>
    <w:rsid w:val="20947775"/>
    <w:rsid w:val="20C04321"/>
    <w:rsid w:val="20EB11FB"/>
    <w:rsid w:val="20F65025"/>
    <w:rsid w:val="21565695"/>
    <w:rsid w:val="221748DA"/>
    <w:rsid w:val="222D4B38"/>
    <w:rsid w:val="22486C3C"/>
    <w:rsid w:val="22627584"/>
    <w:rsid w:val="227713B9"/>
    <w:rsid w:val="227E53E2"/>
    <w:rsid w:val="22BD21A4"/>
    <w:rsid w:val="230D4664"/>
    <w:rsid w:val="23531B69"/>
    <w:rsid w:val="23F41E93"/>
    <w:rsid w:val="245C489C"/>
    <w:rsid w:val="24A51D30"/>
    <w:rsid w:val="24A8310A"/>
    <w:rsid w:val="24ED0CAF"/>
    <w:rsid w:val="257D72C5"/>
    <w:rsid w:val="259A064D"/>
    <w:rsid w:val="25A91BE9"/>
    <w:rsid w:val="25F80BEF"/>
    <w:rsid w:val="264E03AA"/>
    <w:rsid w:val="264F71BE"/>
    <w:rsid w:val="268D674E"/>
    <w:rsid w:val="269059C5"/>
    <w:rsid w:val="27337EE9"/>
    <w:rsid w:val="27510424"/>
    <w:rsid w:val="275A1718"/>
    <w:rsid w:val="27FA6A57"/>
    <w:rsid w:val="28741F00"/>
    <w:rsid w:val="287B1A5A"/>
    <w:rsid w:val="289F4F2F"/>
    <w:rsid w:val="28B67378"/>
    <w:rsid w:val="28F23BAD"/>
    <w:rsid w:val="297B49FA"/>
    <w:rsid w:val="298E2F3D"/>
    <w:rsid w:val="29B1567A"/>
    <w:rsid w:val="29C3391A"/>
    <w:rsid w:val="2A6B6FE4"/>
    <w:rsid w:val="2A9526CD"/>
    <w:rsid w:val="2AF331FE"/>
    <w:rsid w:val="2AF621B8"/>
    <w:rsid w:val="2B4D19CF"/>
    <w:rsid w:val="2B591C41"/>
    <w:rsid w:val="2C0B2FE1"/>
    <w:rsid w:val="2C1E0C9E"/>
    <w:rsid w:val="2C9C632F"/>
    <w:rsid w:val="2CC518EE"/>
    <w:rsid w:val="2CF5641F"/>
    <w:rsid w:val="2D062D89"/>
    <w:rsid w:val="2D601C2F"/>
    <w:rsid w:val="2DA75389"/>
    <w:rsid w:val="2E002091"/>
    <w:rsid w:val="2E23724E"/>
    <w:rsid w:val="2F0E4B96"/>
    <w:rsid w:val="2F5A58EA"/>
    <w:rsid w:val="2FDF0310"/>
    <w:rsid w:val="30797C17"/>
    <w:rsid w:val="30F11783"/>
    <w:rsid w:val="310A7235"/>
    <w:rsid w:val="311F12DD"/>
    <w:rsid w:val="32737E76"/>
    <w:rsid w:val="32B12408"/>
    <w:rsid w:val="32DA39C5"/>
    <w:rsid w:val="334D2131"/>
    <w:rsid w:val="335F53B0"/>
    <w:rsid w:val="33A90E1D"/>
    <w:rsid w:val="33F47CCB"/>
    <w:rsid w:val="34585A3B"/>
    <w:rsid w:val="347246DA"/>
    <w:rsid w:val="34C74E9F"/>
    <w:rsid w:val="35104732"/>
    <w:rsid w:val="352A3FA1"/>
    <w:rsid w:val="35425DB7"/>
    <w:rsid w:val="362678AC"/>
    <w:rsid w:val="365B2DA6"/>
    <w:rsid w:val="369B72A0"/>
    <w:rsid w:val="3751386A"/>
    <w:rsid w:val="377B1B24"/>
    <w:rsid w:val="3783605E"/>
    <w:rsid w:val="37A40966"/>
    <w:rsid w:val="37AA2834"/>
    <w:rsid w:val="388D5253"/>
    <w:rsid w:val="38EF1F7D"/>
    <w:rsid w:val="38F35529"/>
    <w:rsid w:val="38FF4F11"/>
    <w:rsid w:val="391A34DD"/>
    <w:rsid w:val="398E59C9"/>
    <w:rsid w:val="39B43071"/>
    <w:rsid w:val="3A670AC4"/>
    <w:rsid w:val="3A6A7A6C"/>
    <w:rsid w:val="3A8A64DA"/>
    <w:rsid w:val="3C4713B4"/>
    <w:rsid w:val="3C4B567C"/>
    <w:rsid w:val="3C625819"/>
    <w:rsid w:val="3C8D005F"/>
    <w:rsid w:val="3D40752D"/>
    <w:rsid w:val="3D416ED2"/>
    <w:rsid w:val="3D9E1FE0"/>
    <w:rsid w:val="3DEC26E0"/>
    <w:rsid w:val="3E482957"/>
    <w:rsid w:val="3EA615C3"/>
    <w:rsid w:val="3EEC3AF0"/>
    <w:rsid w:val="3EEF0FB1"/>
    <w:rsid w:val="3F49778D"/>
    <w:rsid w:val="3FB24CD5"/>
    <w:rsid w:val="3FB535D5"/>
    <w:rsid w:val="3FC47BE9"/>
    <w:rsid w:val="400B379F"/>
    <w:rsid w:val="401656C8"/>
    <w:rsid w:val="408623E7"/>
    <w:rsid w:val="40A65C19"/>
    <w:rsid w:val="40DC6FB6"/>
    <w:rsid w:val="414A3CF9"/>
    <w:rsid w:val="415A5724"/>
    <w:rsid w:val="418419F2"/>
    <w:rsid w:val="42320AA1"/>
    <w:rsid w:val="42C7597D"/>
    <w:rsid w:val="42D71B2E"/>
    <w:rsid w:val="43116E0D"/>
    <w:rsid w:val="435E32CC"/>
    <w:rsid w:val="44C2544F"/>
    <w:rsid w:val="44DB5C37"/>
    <w:rsid w:val="45525385"/>
    <w:rsid w:val="46412B93"/>
    <w:rsid w:val="467F7FFE"/>
    <w:rsid w:val="46AA6EC8"/>
    <w:rsid w:val="46EA51DB"/>
    <w:rsid w:val="48CC6C09"/>
    <w:rsid w:val="49182F79"/>
    <w:rsid w:val="493D634C"/>
    <w:rsid w:val="498A2E83"/>
    <w:rsid w:val="4AD209EA"/>
    <w:rsid w:val="4B661B8A"/>
    <w:rsid w:val="4B79502C"/>
    <w:rsid w:val="4B977BD2"/>
    <w:rsid w:val="4BF013A1"/>
    <w:rsid w:val="4C3D3C07"/>
    <w:rsid w:val="4C686F6E"/>
    <w:rsid w:val="4C82770F"/>
    <w:rsid w:val="4CD02CE7"/>
    <w:rsid w:val="4DD20160"/>
    <w:rsid w:val="4DE64E83"/>
    <w:rsid w:val="4E0749C5"/>
    <w:rsid w:val="4E110F25"/>
    <w:rsid w:val="4EC44089"/>
    <w:rsid w:val="4EC7219B"/>
    <w:rsid w:val="4EF07817"/>
    <w:rsid w:val="4EF179BD"/>
    <w:rsid w:val="4F4E398D"/>
    <w:rsid w:val="4F5E1C10"/>
    <w:rsid w:val="4F980733"/>
    <w:rsid w:val="4FC81983"/>
    <w:rsid w:val="50570814"/>
    <w:rsid w:val="50A76D07"/>
    <w:rsid w:val="511F7F38"/>
    <w:rsid w:val="513A5D59"/>
    <w:rsid w:val="515145D5"/>
    <w:rsid w:val="51762F43"/>
    <w:rsid w:val="51763D69"/>
    <w:rsid w:val="518942F8"/>
    <w:rsid w:val="51F22DA4"/>
    <w:rsid w:val="52224331"/>
    <w:rsid w:val="528A4B4D"/>
    <w:rsid w:val="52A44839"/>
    <w:rsid w:val="52DD61F2"/>
    <w:rsid w:val="53562868"/>
    <w:rsid w:val="54360C52"/>
    <w:rsid w:val="543633EF"/>
    <w:rsid w:val="543F741C"/>
    <w:rsid w:val="5490618D"/>
    <w:rsid w:val="54CA271A"/>
    <w:rsid w:val="54E24126"/>
    <w:rsid w:val="54F4624A"/>
    <w:rsid w:val="55265A9F"/>
    <w:rsid w:val="55657EF7"/>
    <w:rsid w:val="566B5C4F"/>
    <w:rsid w:val="56E322F1"/>
    <w:rsid w:val="57747D68"/>
    <w:rsid w:val="57B90482"/>
    <w:rsid w:val="57E80F25"/>
    <w:rsid w:val="582836A2"/>
    <w:rsid w:val="583C0C74"/>
    <w:rsid w:val="586438F5"/>
    <w:rsid w:val="59532A00"/>
    <w:rsid w:val="59CB01FF"/>
    <w:rsid w:val="59DB6BB4"/>
    <w:rsid w:val="5A363B30"/>
    <w:rsid w:val="5A463A7A"/>
    <w:rsid w:val="5A7C1BE0"/>
    <w:rsid w:val="5A7F6176"/>
    <w:rsid w:val="5AA47895"/>
    <w:rsid w:val="5ABA2553"/>
    <w:rsid w:val="5AC86D71"/>
    <w:rsid w:val="5B722EEF"/>
    <w:rsid w:val="5BC8216B"/>
    <w:rsid w:val="5BD10EF1"/>
    <w:rsid w:val="5C2018E1"/>
    <w:rsid w:val="5C3F26AF"/>
    <w:rsid w:val="5C605AFE"/>
    <w:rsid w:val="5C612B51"/>
    <w:rsid w:val="5C99381C"/>
    <w:rsid w:val="5D1E3B0E"/>
    <w:rsid w:val="5D7E5BC5"/>
    <w:rsid w:val="5DA11663"/>
    <w:rsid w:val="5DE74E6C"/>
    <w:rsid w:val="5E0B0E08"/>
    <w:rsid w:val="60176BCC"/>
    <w:rsid w:val="601D07D6"/>
    <w:rsid w:val="60673F83"/>
    <w:rsid w:val="607A2BF6"/>
    <w:rsid w:val="608A42BB"/>
    <w:rsid w:val="60A62FEE"/>
    <w:rsid w:val="60B706D9"/>
    <w:rsid w:val="60C03CFB"/>
    <w:rsid w:val="60DC344F"/>
    <w:rsid w:val="610645B8"/>
    <w:rsid w:val="612802A8"/>
    <w:rsid w:val="615103D2"/>
    <w:rsid w:val="615D28A6"/>
    <w:rsid w:val="6166423A"/>
    <w:rsid w:val="61A8755D"/>
    <w:rsid w:val="61C353DF"/>
    <w:rsid w:val="62555D10"/>
    <w:rsid w:val="629148DA"/>
    <w:rsid w:val="631C0F85"/>
    <w:rsid w:val="637A43B3"/>
    <w:rsid w:val="63824573"/>
    <w:rsid w:val="63831D54"/>
    <w:rsid w:val="63B40571"/>
    <w:rsid w:val="644B70D8"/>
    <w:rsid w:val="64B27796"/>
    <w:rsid w:val="650C50F9"/>
    <w:rsid w:val="65176D56"/>
    <w:rsid w:val="653C3E4C"/>
    <w:rsid w:val="65745B94"/>
    <w:rsid w:val="657959FC"/>
    <w:rsid w:val="65820C2C"/>
    <w:rsid w:val="65B31F28"/>
    <w:rsid w:val="65D479BB"/>
    <w:rsid w:val="66650F64"/>
    <w:rsid w:val="668A0DFC"/>
    <w:rsid w:val="66FB69C9"/>
    <w:rsid w:val="67512612"/>
    <w:rsid w:val="67972ADA"/>
    <w:rsid w:val="67C92269"/>
    <w:rsid w:val="68B329D2"/>
    <w:rsid w:val="68B90681"/>
    <w:rsid w:val="69B606F3"/>
    <w:rsid w:val="69DF6EF3"/>
    <w:rsid w:val="69E76E82"/>
    <w:rsid w:val="6A12296C"/>
    <w:rsid w:val="6A405169"/>
    <w:rsid w:val="6AC977DE"/>
    <w:rsid w:val="6AEF704E"/>
    <w:rsid w:val="6B497943"/>
    <w:rsid w:val="6BDC2295"/>
    <w:rsid w:val="6BEC5C84"/>
    <w:rsid w:val="6BFB7C75"/>
    <w:rsid w:val="6C204074"/>
    <w:rsid w:val="6D591FCC"/>
    <w:rsid w:val="6D6501CF"/>
    <w:rsid w:val="6D88620F"/>
    <w:rsid w:val="6E5F0CC4"/>
    <w:rsid w:val="6EFC21F4"/>
    <w:rsid w:val="6F5D51AC"/>
    <w:rsid w:val="6F5E29F5"/>
    <w:rsid w:val="6FAF5644"/>
    <w:rsid w:val="6FC27FFB"/>
    <w:rsid w:val="6FEE2012"/>
    <w:rsid w:val="70A3794F"/>
    <w:rsid w:val="70C06A02"/>
    <w:rsid w:val="70E01CAF"/>
    <w:rsid w:val="71520337"/>
    <w:rsid w:val="719B1ECC"/>
    <w:rsid w:val="72F2036E"/>
    <w:rsid w:val="72F83160"/>
    <w:rsid w:val="73104417"/>
    <w:rsid w:val="7330127B"/>
    <w:rsid w:val="73411304"/>
    <w:rsid w:val="737C5B3F"/>
    <w:rsid w:val="73833CF8"/>
    <w:rsid w:val="73B02521"/>
    <w:rsid w:val="73D62E47"/>
    <w:rsid w:val="7400407A"/>
    <w:rsid w:val="74356566"/>
    <w:rsid w:val="74DE3FE1"/>
    <w:rsid w:val="755A0FBB"/>
    <w:rsid w:val="755A6260"/>
    <w:rsid w:val="75BF04A1"/>
    <w:rsid w:val="76250639"/>
    <w:rsid w:val="76283C3E"/>
    <w:rsid w:val="76BC7B07"/>
    <w:rsid w:val="772F5588"/>
    <w:rsid w:val="773A40E4"/>
    <w:rsid w:val="778A0953"/>
    <w:rsid w:val="77BB1CBD"/>
    <w:rsid w:val="77F355AF"/>
    <w:rsid w:val="78C112B3"/>
    <w:rsid w:val="78C338C8"/>
    <w:rsid w:val="78C77578"/>
    <w:rsid w:val="79D24252"/>
    <w:rsid w:val="7A3410D9"/>
    <w:rsid w:val="7A451EC0"/>
    <w:rsid w:val="7ADC2787"/>
    <w:rsid w:val="7B11552F"/>
    <w:rsid w:val="7B1623D5"/>
    <w:rsid w:val="7B5B24DE"/>
    <w:rsid w:val="7C464A0C"/>
    <w:rsid w:val="7C5C6762"/>
    <w:rsid w:val="7C8F2B0F"/>
    <w:rsid w:val="7D3935C4"/>
    <w:rsid w:val="7D9C3F0F"/>
    <w:rsid w:val="7DA63DFF"/>
    <w:rsid w:val="7DE62C85"/>
    <w:rsid w:val="7EC23466"/>
    <w:rsid w:val="7EDB2D7F"/>
    <w:rsid w:val="7EED3933"/>
    <w:rsid w:val="7F1E7069"/>
    <w:rsid w:val="7F313C82"/>
    <w:rsid w:val="7F6A2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keepNext/>
      <w:spacing w:before="240" w:after="60"/>
      <w:outlineLvl w:val="0"/>
    </w:pPr>
    <w:rPr>
      <w:rFonts w:ascii="Times New Roman" w:hAnsi="Times New Roman"/>
      <w:b/>
      <w:bCs/>
      <w:kern w:val="36"/>
      <w:sz w:val="48"/>
      <w:szCs w:val="48"/>
    </w:rPr>
  </w:style>
  <w:style w:type="paragraph" w:styleId="4">
    <w:name w:val="heading 2"/>
    <w:basedOn w:val="1"/>
    <w:next w:val="2"/>
    <w:qFormat/>
    <w:uiPriority w:val="99"/>
    <w:pPr>
      <w:keepNext/>
      <w:keepLines/>
      <w:adjustRightInd w:val="0"/>
      <w:snapToGrid w:val="0"/>
      <w:spacing w:line="360" w:lineRule="auto"/>
      <w:jc w:val="center"/>
      <w:outlineLvl w:val="1"/>
    </w:pPr>
    <w:rPr>
      <w:rFonts w:ascii="宋体" w:hAnsi="Arial" w:cs="宋体"/>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5">
    <w:name w:val="Body Text"/>
    <w:basedOn w:val="1"/>
    <w:next w:val="6"/>
    <w:qFormat/>
    <w:uiPriority w:val="0"/>
    <w:pPr>
      <w:spacing w:after="120"/>
    </w:pPr>
    <w:rPr>
      <w:kern w:val="0"/>
      <w:sz w:val="20"/>
    </w:rPr>
  </w:style>
  <w:style w:type="paragraph" w:styleId="6">
    <w:name w:val="Title"/>
    <w:basedOn w:val="1"/>
    <w:next w:val="1"/>
    <w:qFormat/>
    <w:uiPriority w:val="0"/>
    <w:pPr>
      <w:spacing w:before="240" w:after="60"/>
      <w:jc w:val="center"/>
      <w:outlineLvl w:val="0"/>
    </w:pPr>
    <w:rPr>
      <w:rFonts w:ascii="Cambria" w:hAnsi="Cambria"/>
      <w:b/>
      <w:bCs/>
      <w:sz w:val="32"/>
      <w:szCs w:val="32"/>
    </w:rPr>
  </w:style>
  <w:style w:type="paragraph" w:styleId="7">
    <w:name w:val="Body Text Indent"/>
    <w:basedOn w:val="1"/>
    <w:qFormat/>
    <w:uiPriority w:val="0"/>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Body Text First Indent"/>
    <w:basedOn w:val="5"/>
    <w:qFormat/>
    <w:uiPriority w:val="0"/>
    <w:pPr>
      <w:ind w:firstLine="420"/>
    </w:pPr>
  </w:style>
  <w:style w:type="paragraph" w:styleId="11">
    <w:name w:val="Body Text First Indent 2"/>
    <w:basedOn w:val="7"/>
    <w:qFormat/>
    <w:uiPriority w:val="0"/>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paragraph" w:customStyle="1" w:styleId="16">
    <w:name w:val="文一"/>
    <w:basedOn w:val="1"/>
    <w:qFormat/>
    <w:uiPriority w:val="0"/>
    <w:pPr>
      <w:topLinePunct/>
      <w:adjustRightInd w:val="0"/>
      <w:snapToGrid w:val="0"/>
      <w:spacing w:line="360" w:lineRule="auto"/>
      <w:ind w:firstLine="200" w:firstLineChars="200"/>
    </w:pPr>
    <w:rPr>
      <w:spacing w:val="4"/>
      <w:kern w:val="0"/>
      <w:sz w:val="24"/>
    </w:rPr>
  </w:style>
  <w:style w:type="paragraph" w:customStyle="1" w:styleId="17">
    <w:name w:val="列表段落1"/>
    <w:basedOn w:val="1"/>
    <w:qFormat/>
    <w:uiPriority w:val="34"/>
    <w:pPr>
      <w:ind w:firstLine="420" w:firstLineChars="200"/>
    </w:pPr>
    <w:rPr>
      <w:rFonts w:ascii="Calibri" w:hAnsi="Calibri" w:eastAsia="宋体" w:cs="Times New Roman"/>
    </w:rPr>
  </w:style>
  <w:style w:type="paragraph" w:customStyle="1" w:styleId="18">
    <w:name w:val="仿宋GB正文小四"/>
    <w:basedOn w:val="1"/>
    <w:qFormat/>
    <w:uiPriority w:val="99"/>
    <w:pPr>
      <w:spacing w:line="360" w:lineRule="auto"/>
      <w:ind w:firstLine="200" w:firstLineChars="200"/>
    </w:pPr>
    <w:rPr>
      <w:rFonts w:eastAsia="仿宋_GB231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27499</Words>
  <Characters>37946</Characters>
  <Lines>313</Lines>
  <Paragraphs>88</Paragraphs>
  <TotalTime>0</TotalTime>
  <ScaleCrop>false</ScaleCrop>
  <LinksUpToDate>false</LinksUpToDate>
  <CharactersWithSpaces>38939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2022-10-21T01:12:00Z</dcterms:created>
  <dc:creator>刘标斌</dc:creator>
  <cp:lastModifiedBy>刘标斌</cp:lastModifiedBy>
  <cp:lastPrinted>2023-04-07T08:59:00Z</cp:lastPrinted>
  <dcterms:modified xsi:type="dcterms:W3CDTF">2023-04-11T02:31:32Z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D08B21C8CE3E47559F310A5E4F94E0F3</vt:lpwstr>
  </property>
</Properties>
</file>